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DD9" w:rsidRPr="006458BC" w:rsidRDefault="00A25993" w:rsidP="00A259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58BC">
        <w:rPr>
          <w:rFonts w:ascii="Times New Roman" w:hAnsi="Times New Roman" w:cs="Times New Roman"/>
          <w:sz w:val="24"/>
          <w:szCs w:val="24"/>
        </w:rPr>
        <w:t xml:space="preserve">Реестр изменений, вносимых </w:t>
      </w:r>
      <w:r w:rsidR="00372DD9" w:rsidRPr="006458BC">
        <w:rPr>
          <w:rFonts w:ascii="Times New Roman" w:hAnsi="Times New Roman" w:cs="Times New Roman"/>
          <w:sz w:val="24"/>
          <w:szCs w:val="24"/>
        </w:rPr>
        <w:t xml:space="preserve">в </w:t>
      </w:r>
      <w:r w:rsidR="00E4262F" w:rsidRPr="006458B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области от </w:t>
      </w:r>
      <w:r w:rsidR="00C63887">
        <w:rPr>
          <w:rFonts w:ascii="Times New Roman" w:hAnsi="Times New Roman" w:cs="Times New Roman"/>
          <w:sz w:val="24"/>
          <w:szCs w:val="24"/>
        </w:rPr>
        <w:t>28</w:t>
      </w:r>
      <w:r w:rsidR="00E4262F" w:rsidRPr="006458BC">
        <w:rPr>
          <w:rFonts w:ascii="Times New Roman" w:hAnsi="Times New Roman" w:cs="Times New Roman"/>
          <w:sz w:val="24"/>
          <w:szCs w:val="24"/>
        </w:rPr>
        <w:t>.0</w:t>
      </w:r>
      <w:r w:rsidR="00C63887">
        <w:rPr>
          <w:rFonts w:ascii="Times New Roman" w:hAnsi="Times New Roman" w:cs="Times New Roman"/>
          <w:sz w:val="24"/>
          <w:szCs w:val="24"/>
        </w:rPr>
        <w:t>9</w:t>
      </w:r>
      <w:r w:rsidR="00E4262F" w:rsidRPr="006458BC">
        <w:rPr>
          <w:rFonts w:ascii="Times New Roman" w:hAnsi="Times New Roman" w:cs="Times New Roman"/>
          <w:sz w:val="24"/>
          <w:szCs w:val="24"/>
        </w:rPr>
        <w:t>.20</w:t>
      </w:r>
      <w:r w:rsidR="00C63887">
        <w:rPr>
          <w:rFonts w:ascii="Times New Roman" w:hAnsi="Times New Roman" w:cs="Times New Roman"/>
          <w:sz w:val="24"/>
          <w:szCs w:val="24"/>
        </w:rPr>
        <w:t>23</w:t>
      </w:r>
      <w:r w:rsidR="00E4262F" w:rsidRPr="006458BC">
        <w:rPr>
          <w:rFonts w:ascii="Times New Roman" w:hAnsi="Times New Roman" w:cs="Times New Roman"/>
          <w:sz w:val="24"/>
          <w:szCs w:val="24"/>
        </w:rPr>
        <w:t xml:space="preserve"> № </w:t>
      </w:r>
      <w:r w:rsidR="00C63887">
        <w:rPr>
          <w:rFonts w:ascii="Times New Roman" w:hAnsi="Times New Roman" w:cs="Times New Roman"/>
          <w:sz w:val="24"/>
          <w:szCs w:val="24"/>
        </w:rPr>
        <w:t>969</w:t>
      </w:r>
      <w:r w:rsidR="00E4262F" w:rsidRPr="006458BC">
        <w:rPr>
          <w:rFonts w:ascii="Times New Roman" w:hAnsi="Times New Roman" w:cs="Times New Roman"/>
          <w:sz w:val="24"/>
          <w:szCs w:val="24"/>
        </w:rPr>
        <w:t>-п «</w:t>
      </w:r>
      <w:r w:rsidR="00C63887" w:rsidRPr="00C63887">
        <w:rPr>
          <w:rFonts w:ascii="Times New Roman" w:hAnsi="Times New Roman" w:cs="Times New Roman"/>
          <w:sz w:val="24"/>
          <w:szCs w:val="24"/>
        </w:rPr>
        <w:t>О системе управления государственными программами Ярославской области и признании утратившими силу отдельных постановлений Правительства области</w:t>
      </w:r>
      <w:r w:rsidR="00E4262F" w:rsidRPr="006458BC">
        <w:rPr>
          <w:rFonts w:ascii="Times New Roman" w:hAnsi="Times New Roman" w:cs="Times New Roman"/>
          <w:sz w:val="24"/>
          <w:szCs w:val="24"/>
        </w:rPr>
        <w:t>»</w:t>
      </w:r>
      <w:r w:rsidR="00C63887">
        <w:rPr>
          <w:rFonts w:ascii="Times New Roman" w:hAnsi="Times New Roman" w:cs="Times New Roman"/>
          <w:sz w:val="24"/>
          <w:szCs w:val="24"/>
        </w:rPr>
        <w:t>,</w:t>
      </w:r>
      <w:r w:rsidR="00C63887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63887" w:rsidRPr="00C63887">
        <w:rPr>
          <w:rFonts w:ascii="Times New Roman" w:hAnsi="Times New Roman" w:cs="Times New Roman"/>
          <w:sz w:val="24"/>
          <w:szCs w:val="24"/>
        </w:rPr>
        <w:t xml:space="preserve">Положение о системе управления государственными программами Ярославской области </w:t>
      </w:r>
      <w:r w:rsidR="00C63887">
        <w:rPr>
          <w:rFonts w:ascii="Times New Roman" w:hAnsi="Times New Roman" w:cs="Times New Roman"/>
          <w:sz w:val="24"/>
          <w:szCs w:val="24"/>
        </w:rPr>
        <w:t>(далее – Положение</w:t>
      </w:r>
      <w:r w:rsidR="006458BC">
        <w:rPr>
          <w:rFonts w:ascii="Times New Roman" w:hAnsi="Times New Roman" w:cs="Times New Roman"/>
          <w:sz w:val="24"/>
          <w:szCs w:val="24"/>
        </w:rPr>
        <w:t>)</w:t>
      </w:r>
      <w:r w:rsidR="00C63887">
        <w:rPr>
          <w:rFonts w:ascii="Times New Roman" w:hAnsi="Times New Roman" w:cs="Times New Roman"/>
          <w:sz w:val="24"/>
          <w:szCs w:val="24"/>
        </w:rPr>
        <w:t xml:space="preserve">, </w:t>
      </w:r>
      <w:r w:rsidR="00C63887">
        <w:rPr>
          <w:rFonts w:ascii="Times New Roman" w:hAnsi="Times New Roman" w:cs="Times New Roman"/>
          <w:sz w:val="24"/>
          <w:szCs w:val="24"/>
        </w:rPr>
        <w:br/>
      </w:r>
      <w:r w:rsidR="00C63887" w:rsidRPr="00C63887">
        <w:rPr>
          <w:rFonts w:ascii="Times New Roman" w:hAnsi="Times New Roman" w:cs="Times New Roman"/>
          <w:sz w:val="24"/>
          <w:szCs w:val="24"/>
        </w:rPr>
        <w:t>Методические рекомендации по разработке и реализации государственных программ Ярославской области</w:t>
      </w:r>
      <w:r w:rsidR="00C63887">
        <w:rPr>
          <w:rFonts w:ascii="Times New Roman" w:hAnsi="Times New Roman" w:cs="Times New Roman"/>
          <w:sz w:val="24"/>
          <w:szCs w:val="24"/>
        </w:rPr>
        <w:t xml:space="preserve"> (далее – Методические рекомендации)</w:t>
      </w:r>
    </w:p>
    <w:p w:rsidR="00A25993" w:rsidRPr="00A25993" w:rsidRDefault="00A25993" w:rsidP="00372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732" w:type="dxa"/>
        <w:tblLayout w:type="fixed"/>
        <w:tblLook w:val="04A0" w:firstRow="1" w:lastRow="0" w:firstColumn="1" w:lastColumn="0" w:noHBand="0" w:noVBand="1"/>
      </w:tblPr>
      <w:tblGrid>
        <w:gridCol w:w="1668"/>
        <w:gridCol w:w="6520"/>
        <w:gridCol w:w="6544"/>
      </w:tblGrid>
      <w:tr w:rsidR="006728A9" w:rsidTr="00B27052">
        <w:tc>
          <w:tcPr>
            <w:tcW w:w="1668" w:type="dxa"/>
          </w:tcPr>
          <w:p w:rsidR="00A25993" w:rsidRDefault="00A25993" w:rsidP="00A2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Структурна</w:t>
            </w:r>
            <w:r w:rsidR="00372DD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единица НПА</w:t>
            </w:r>
          </w:p>
        </w:tc>
        <w:tc>
          <w:tcPr>
            <w:tcW w:w="6520" w:type="dxa"/>
          </w:tcPr>
          <w:p w:rsidR="00A25993" w:rsidRDefault="00A25993" w:rsidP="00A2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6544" w:type="dxa"/>
          </w:tcPr>
          <w:p w:rsidR="00A25993" w:rsidRDefault="00A25993" w:rsidP="00A2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7623DD" w:rsidTr="00B27052">
        <w:tc>
          <w:tcPr>
            <w:tcW w:w="1668" w:type="dxa"/>
          </w:tcPr>
          <w:p w:rsidR="007623DD" w:rsidRDefault="007623DD" w:rsidP="00697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20">
              <w:rPr>
                <w:rFonts w:ascii="Times New Roman" w:hAnsi="Times New Roman" w:cs="Times New Roman"/>
                <w:sz w:val="24"/>
                <w:szCs w:val="24"/>
              </w:rPr>
              <w:t>пункт 4.1</w:t>
            </w:r>
          </w:p>
          <w:p w:rsidR="007623DD" w:rsidRDefault="007623DD" w:rsidP="00697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</w:p>
          <w:p w:rsidR="007623DD" w:rsidRDefault="007623DD" w:rsidP="00697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  <w:tc>
          <w:tcPr>
            <w:tcW w:w="6520" w:type="dxa"/>
          </w:tcPr>
          <w:p w:rsidR="00AC2257" w:rsidRPr="00AC2257" w:rsidRDefault="00AC2257" w:rsidP="00AC2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257">
              <w:rPr>
                <w:rFonts w:ascii="Times New Roman" w:hAnsi="Times New Roman" w:cs="Times New Roman"/>
                <w:sz w:val="24"/>
                <w:szCs w:val="24"/>
              </w:rPr>
              <w:t>4.1. Разработка государственных программ (комплексных программ) осуществляется на основании перечня государственных программ Ярославской области, приведенного в разделе 6 Стратегии социально-экономического развития Ярославской области до 2030 г. (далее - перечень государственных программ).</w:t>
            </w:r>
          </w:p>
          <w:p w:rsidR="00AC2257" w:rsidRPr="00AC2257" w:rsidRDefault="00AC2257" w:rsidP="00AC2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>Перечень государственных программ формируется министерством экономического развития Ярославской области по согласованию с министерством финансов Ярославской области исходя из приоритетов и целей социально-экономического развития Ярославской области, на основании положений нормативных правовых актов Российской Федерации и Ярославской области, с учетом поручений Губернатора области о разработке государственной программы в установленной сфере деятельности, предложений органов исполнительной власти Ярославской области, структурных подразделений Правительства области и</w:t>
            </w:r>
            <w:proofErr w:type="gramEnd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оценки эффективности реализации государственных программ.</w:t>
            </w:r>
          </w:p>
          <w:p w:rsidR="00AC2257" w:rsidRPr="00AC2257" w:rsidRDefault="00AC2257" w:rsidP="00AC2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государственной программы (комплексной программы) в Стратегии социально-экономического развития Ярославской области до 2030 года ответственный исполнитель может инициировать разработку государственной программы (комплексной программы), направив в адрес министерства экономического развития Ярославской области письменный запрос о включении государственной программы (комплексной программы) в </w:t>
            </w:r>
            <w:r w:rsidRPr="00AC22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Стратегию социально-экономического развития Ярославской области до 2030 года с обоснованием необходимости разработки государственной программы (комплексной программы) и ссылкой</w:t>
            </w:r>
            <w:proofErr w:type="gramEnd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соответствующие федеральные нормативные правовые акты (при их наличии).</w:t>
            </w:r>
          </w:p>
          <w:p w:rsidR="007623DD" w:rsidRPr="001802ED" w:rsidRDefault="00AC2257" w:rsidP="00AC2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разработка государственной программы (подпрограммы государственной программы) во исполнение федеральных требований к разработке такой государственной программы (подпрограммы государственной программы), утвержденных федеральными нормативными правовыми актами. Такая государственная программа (подпрограмма государственной программы) не </w:t>
            </w:r>
            <w:proofErr w:type="gramStart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>подлежит включению в Стратегию социально-экономического развития Ярославской области до 2030 года и не попадает</w:t>
            </w:r>
            <w:proofErr w:type="gramEnd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 под действие 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6544" w:type="dxa"/>
          </w:tcPr>
          <w:p w:rsidR="00AC2257" w:rsidRPr="00AC2257" w:rsidRDefault="00AC2257" w:rsidP="00AC2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2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Разработка государственных программ (комплексных программ) осуществляется на основании перечня государственных программ Ярославской области, приведенного в разделе 6 Стратегии социально-экономического развития Ярославской области до 2030 г. (далее - перечень государственных программ).</w:t>
            </w:r>
          </w:p>
          <w:p w:rsidR="00AC2257" w:rsidRPr="00AC2257" w:rsidRDefault="00AC2257" w:rsidP="00AC2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>Перечень государственных программ формируется министерством экономического развития Ярославской области по согласованию с министерством финансов Ярославской области исходя из приоритетов и целей социально-экономического развития Ярославской области, на основании положений нормативных правовых актов Российской Федерации и Ярославской области, с учетом поручений Губернатора области о разработке государственной программы в установленной сфере деятельности, предложений органов исполнительной власти Ярославской области, структурных подразделений Правительства области и</w:t>
            </w:r>
            <w:proofErr w:type="gramEnd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оценки эффективности реализации государственных программ.</w:t>
            </w:r>
          </w:p>
          <w:p w:rsidR="00AC2257" w:rsidRPr="00AC2257" w:rsidRDefault="00AC2257" w:rsidP="00AC2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государственной программы (комплексной программы) в Стратегии социально-экономического развития Ярославской области до 2030 года ответственный исполнитель может инициировать разработку государственной программы (комплексной программы), направив в адрес министерства экономического развития Ярославской области письменный запрос о включении государственной программы (комплексной программы) в </w:t>
            </w:r>
            <w:r w:rsidRPr="00AC22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Стратегию социально-экономического развития Ярославской области до 2030 года с обоснованием необходимости разработки государственной программы (комплексной программы) и ссылкой</w:t>
            </w:r>
            <w:proofErr w:type="gramEnd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соответствующие федеральные нормативные правовые акты (при их наличии).</w:t>
            </w:r>
          </w:p>
          <w:p w:rsidR="007623DD" w:rsidRDefault="00AC2257" w:rsidP="00AC2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разработка государственной программы (подпрограммы государственной программы) во исполнение федеральных требований к разработке такой государственной программы (подпрограммы государственной программы), утвержденных федеральными нормативными правовыми актами. Такая государственная программа (подпрограмма государственной программы) не </w:t>
            </w:r>
            <w:proofErr w:type="gramStart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>подлежит включению в Стратегию социально-экономического развития Ярославской области до 2030 года и не попадает</w:t>
            </w:r>
            <w:proofErr w:type="gramEnd"/>
            <w:r w:rsidRPr="00AC2257">
              <w:rPr>
                <w:rFonts w:ascii="Times New Roman" w:hAnsi="Times New Roman" w:cs="Times New Roman"/>
                <w:sz w:val="24"/>
                <w:szCs w:val="24"/>
              </w:rPr>
              <w:t xml:space="preserve"> под действие 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1E38B4" w:rsidRPr="001E38B4" w:rsidRDefault="00F56E76" w:rsidP="001E38B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F56E7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Разработка структурных элементов государственной программы (комплексной программы) осуществляется на основании перечня и состава государственных программ Ярославской области, приведенного в разделе 5 Плана мероприятий по реализации Стратегии социально-экономического развития Ярославской области до 2030 года, утвержденного постановлением Правительства области от 22.12.2015 № 1367-п «Об утверждении Плана мероприятий по реализации Стратегии социально-экономического развития Ярославской области до 2030 года»</w:t>
            </w:r>
            <w:r w:rsidR="001E38B4" w:rsidRPr="001E38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38B4" w:rsidRPr="001E38B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(далее – План реализации Стратегии).</w:t>
            </w:r>
            <w:proofErr w:type="gramEnd"/>
          </w:p>
          <w:p w:rsidR="00F56E76" w:rsidRPr="001802ED" w:rsidRDefault="001E38B4" w:rsidP="001E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38B4">
              <w:rPr>
                <w:rFonts w:ascii="Times New Roman" w:hAnsi="Times New Roman" w:cs="Times New Roman"/>
                <w:sz w:val="24"/>
                <w:szCs w:val="24"/>
                <w:highlight w:val="yellow"/>
                <w:lang w:bidi="ru-RU"/>
              </w:rPr>
              <w:t xml:space="preserve">В случае отсутствия структурного элемента государственной программы (комплексной программы) в Плане реализации Стратегии ответственный исполнитель может инициировать разработку структурного элемента государственной программы (комплексной программы), направив в адрес министерства экономического развития Ярославской области письменный запрос о включении структурного </w:t>
            </w:r>
            <w:r w:rsidRPr="001E38B4">
              <w:rPr>
                <w:rFonts w:ascii="Times New Roman" w:hAnsi="Times New Roman" w:cs="Times New Roman"/>
                <w:sz w:val="24"/>
                <w:szCs w:val="24"/>
                <w:highlight w:val="yellow"/>
                <w:lang w:bidi="ru-RU"/>
              </w:rPr>
              <w:lastRenderedPageBreak/>
              <w:t>элемента государственной программы (комплексной программы) в План реализации Стратегии с обоснованием необходимости разработки структурного элемента государственной программы (комплексной программы).</w:t>
            </w:r>
            <w:proofErr w:type="gramEnd"/>
          </w:p>
        </w:tc>
      </w:tr>
      <w:tr w:rsidR="007623DD" w:rsidTr="00B27052">
        <w:tc>
          <w:tcPr>
            <w:tcW w:w="1668" w:type="dxa"/>
          </w:tcPr>
          <w:p w:rsidR="007623DD" w:rsidRDefault="007623DD" w:rsidP="0047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4.</w:t>
            </w:r>
            <w:r w:rsidR="00F56E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4</w:t>
            </w:r>
          </w:p>
          <w:p w:rsidR="007623DD" w:rsidRDefault="007623DD" w:rsidP="0047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  <w:tc>
          <w:tcPr>
            <w:tcW w:w="6520" w:type="dxa"/>
          </w:tcPr>
          <w:p w:rsidR="007623DD" w:rsidRPr="00477120" w:rsidRDefault="00F56E76" w:rsidP="00477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44" w:type="dxa"/>
          </w:tcPr>
          <w:p w:rsidR="007623DD" w:rsidRPr="009410B2" w:rsidRDefault="00F56E76" w:rsidP="00AD17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56E7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4.7. Текст государственной программы (комплексной программы) подлежит размещению в срок не позднее 10 рабочих дней с момента утверждения государственной программы (комплексной программы)/ внесения изменений в государственную программу (комплексную программу) на официальном сайте ответственного исполнителя на портале органов государственной власти Ярославской области в информационно-телекоммуникационной сети «Интернет».</w:t>
            </w:r>
          </w:p>
        </w:tc>
      </w:tr>
      <w:tr w:rsidR="007623DD" w:rsidTr="00B27052">
        <w:tc>
          <w:tcPr>
            <w:tcW w:w="1668" w:type="dxa"/>
          </w:tcPr>
          <w:p w:rsidR="007623DD" w:rsidRDefault="000E59E2" w:rsidP="000E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абзац первый </w:t>
            </w:r>
            <w:r w:rsidR="007623DD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7623DD">
              <w:rPr>
                <w:rFonts w:ascii="Times New Roman" w:hAnsi="Times New Roman" w:cs="Times New Roman"/>
                <w:sz w:val="24"/>
                <w:szCs w:val="24"/>
              </w:rPr>
              <w:t xml:space="preserve"> 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23D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6520" w:type="dxa"/>
          </w:tcPr>
          <w:p w:rsidR="007623DD" w:rsidRPr="00633487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E59E2">
              <w:rPr>
                <w:rFonts w:ascii="Times New Roman" w:hAnsi="Times New Roman" w:cs="Times New Roman"/>
                <w:sz w:val="24"/>
              </w:rPr>
              <w:t xml:space="preserve">5.1. </w:t>
            </w:r>
            <w:proofErr w:type="gramStart"/>
            <w:r w:rsidRPr="000E59E2">
              <w:rPr>
                <w:rFonts w:ascii="Times New Roman" w:hAnsi="Times New Roman" w:cs="Times New Roman"/>
                <w:sz w:val="24"/>
              </w:rPr>
              <w:t xml:space="preserve">Внесение изменений в государственную программу (комплексную программу) осуществляется в течение 20 рабочих дней с момента утверждения изменений в закон Ярославской области об областном бюджете на очередной финансовый год и на плановый период (с момента внесения изменений в сводную бюджетную роспись областного бюджета по основаниям, предусмотренным </w:t>
            </w:r>
            <w:hyperlink r:id="rId9" w:history="1">
              <w:r w:rsidRPr="000E59E2">
                <w:rPr>
                  <w:rFonts w:ascii="Times New Roman" w:hAnsi="Times New Roman" w:cs="Times New Roman"/>
                  <w:sz w:val="24"/>
                </w:rPr>
                <w:t>пунктом 3 статьи 217</w:t>
              </w:r>
            </w:hyperlink>
            <w:r w:rsidRPr="000E59E2">
              <w:rPr>
                <w:rFonts w:ascii="Times New Roman" w:hAnsi="Times New Roman" w:cs="Times New Roman"/>
                <w:sz w:val="24"/>
              </w:rPr>
              <w:t xml:space="preserve"> и </w:t>
            </w:r>
            <w:hyperlink r:id="rId10" w:history="1">
              <w:r w:rsidRPr="000E59E2">
                <w:rPr>
                  <w:rFonts w:ascii="Times New Roman" w:hAnsi="Times New Roman" w:cs="Times New Roman"/>
                  <w:sz w:val="24"/>
                </w:rPr>
                <w:t>пунктом 3 статьи 232</w:t>
              </w:r>
            </w:hyperlink>
            <w:r w:rsidRPr="000E59E2">
              <w:rPr>
                <w:rFonts w:ascii="Times New Roman" w:hAnsi="Times New Roman" w:cs="Times New Roman"/>
                <w:sz w:val="24"/>
              </w:rPr>
              <w:t xml:space="preserve"> Бюджетного кодекса Российской Федерации, статьей 162</w:t>
            </w:r>
            <w:proofErr w:type="gramEnd"/>
            <w:r w:rsidRPr="000E59E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0E59E2">
              <w:rPr>
                <w:rFonts w:ascii="Times New Roman" w:hAnsi="Times New Roman" w:cs="Times New Roman"/>
                <w:sz w:val="24"/>
              </w:rPr>
              <w:t>Закона Ярославской области от 26 июня 2008 г. № 28</w:t>
            </w:r>
            <w:r w:rsidRPr="000E59E2">
              <w:rPr>
                <w:rFonts w:ascii="Times New Roman" w:hAnsi="Times New Roman" w:cs="Times New Roman"/>
                <w:sz w:val="24"/>
              </w:rPr>
              <w:noBreakHyphen/>
              <w:t>з «О бюджетном процессе»).</w:t>
            </w:r>
            <w:proofErr w:type="gramEnd"/>
          </w:p>
        </w:tc>
        <w:tc>
          <w:tcPr>
            <w:tcW w:w="6544" w:type="dxa"/>
          </w:tcPr>
          <w:p w:rsidR="007623DD" w:rsidRPr="00633487" w:rsidRDefault="000E59E2" w:rsidP="00AA5142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E59E2">
              <w:rPr>
                <w:rFonts w:ascii="Times New Roman" w:hAnsi="Times New Roman" w:cs="Times New Roman"/>
                <w:sz w:val="24"/>
              </w:rPr>
              <w:t xml:space="preserve">5.1. </w:t>
            </w:r>
            <w:proofErr w:type="gramStart"/>
            <w:r w:rsidRPr="000E59E2">
              <w:rPr>
                <w:rFonts w:ascii="Times New Roman" w:hAnsi="Times New Roman" w:cs="Times New Roman"/>
                <w:sz w:val="24"/>
              </w:rPr>
              <w:t xml:space="preserve">Внесение изменений в государственную программу (комплексную программу) осуществляется </w:t>
            </w:r>
            <w:r w:rsidRPr="00E20D08">
              <w:rPr>
                <w:rFonts w:ascii="Times New Roman" w:hAnsi="Times New Roman" w:cs="Times New Roman"/>
                <w:sz w:val="24"/>
                <w:highlight w:val="yellow"/>
              </w:rPr>
              <w:t>в ГИС ЕИИС УБП «Электронный бюджет Ярославской области»</w:t>
            </w:r>
            <w:r w:rsidRPr="000E59E2">
              <w:rPr>
                <w:rFonts w:ascii="Times New Roman" w:hAnsi="Times New Roman" w:cs="Times New Roman"/>
                <w:sz w:val="24"/>
              </w:rPr>
              <w:t xml:space="preserve"> в течение 20 рабочих дней с момента утверждения изменений в закон Ярославской области об областном бюджете на очередной финансовый год и на плановый период (с момента внесения изменений в сводную бюджетную роспись областного бюджета по основаниям, предусмотренным </w:t>
            </w:r>
            <w:hyperlink r:id="rId11" w:history="1">
              <w:r w:rsidRPr="000E59E2">
                <w:rPr>
                  <w:rFonts w:ascii="Times New Roman" w:hAnsi="Times New Roman" w:cs="Times New Roman"/>
                  <w:sz w:val="24"/>
                </w:rPr>
                <w:t>пунктом 3 статьи 217</w:t>
              </w:r>
            </w:hyperlink>
            <w:r w:rsidRPr="000E59E2">
              <w:rPr>
                <w:rFonts w:ascii="Times New Roman" w:hAnsi="Times New Roman" w:cs="Times New Roman"/>
                <w:sz w:val="24"/>
              </w:rPr>
              <w:t xml:space="preserve"> и </w:t>
            </w:r>
            <w:hyperlink r:id="rId12" w:history="1">
              <w:r w:rsidRPr="000E59E2">
                <w:rPr>
                  <w:rFonts w:ascii="Times New Roman" w:hAnsi="Times New Roman" w:cs="Times New Roman"/>
                  <w:sz w:val="24"/>
                </w:rPr>
                <w:t>пунктом 3</w:t>
              </w:r>
              <w:proofErr w:type="gramEnd"/>
              <w:r w:rsidRPr="000E59E2">
                <w:rPr>
                  <w:rFonts w:ascii="Times New Roman" w:hAnsi="Times New Roman" w:cs="Times New Roman"/>
                  <w:sz w:val="24"/>
                </w:rPr>
                <w:t xml:space="preserve"> статьи 232</w:t>
              </w:r>
            </w:hyperlink>
            <w:r w:rsidRPr="000E59E2">
              <w:rPr>
                <w:rFonts w:ascii="Times New Roman" w:hAnsi="Times New Roman" w:cs="Times New Roman"/>
                <w:sz w:val="24"/>
              </w:rPr>
              <w:t xml:space="preserve"> Бюджетного кодекса Российской Федерации, статьей 162 Закона Ярославской области от 26 июня 2008 г. № 28</w:t>
            </w:r>
            <w:r w:rsidRPr="000E59E2">
              <w:rPr>
                <w:rFonts w:ascii="Times New Roman" w:hAnsi="Times New Roman" w:cs="Times New Roman"/>
                <w:sz w:val="24"/>
              </w:rPr>
              <w:noBreakHyphen/>
              <w:t>з «О бюджетном процессе»).</w:t>
            </w:r>
          </w:p>
        </w:tc>
      </w:tr>
      <w:tr w:rsidR="007623DD" w:rsidTr="00B27052">
        <w:tc>
          <w:tcPr>
            <w:tcW w:w="1668" w:type="dxa"/>
          </w:tcPr>
          <w:p w:rsidR="007623DD" w:rsidRDefault="007623DD" w:rsidP="00E2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4A">
              <w:rPr>
                <w:rFonts w:ascii="Times New Roman" w:hAnsi="Times New Roman" w:cs="Times New Roman"/>
                <w:sz w:val="24"/>
                <w:szCs w:val="24"/>
              </w:rPr>
              <w:t>пункт 5.</w:t>
            </w:r>
            <w:r w:rsidR="00E20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1B4A">
              <w:rPr>
                <w:rFonts w:ascii="Times New Roman" w:hAnsi="Times New Roman" w:cs="Times New Roman"/>
                <w:sz w:val="24"/>
                <w:szCs w:val="24"/>
              </w:rPr>
              <w:t xml:space="preserve"> раздел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6520" w:type="dxa"/>
          </w:tcPr>
          <w:p w:rsidR="00E20D08" w:rsidRPr="00E20D0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E20D08">
              <w:rPr>
                <w:rFonts w:ascii="Times New Roman" w:hAnsi="Times New Roman" w:cs="Times New Roman"/>
                <w:sz w:val="24"/>
              </w:rPr>
              <w:t xml:space="preserve">5.2. </w:t>
            </w:r>
            <w:proofErr w:type="gramStart"/>
            <w:r w:rsidRPr="00E20D08">
              <w:rPr>
                <w:rFonts w:ascii="Times New Roman" w:hAnsi="Times New Roman" w:cs="Times New Roman"/>
                <w:sz w:val="24"/>
              </w:rPr>
              <w:t xml:space="preserve">Подготовка изменений в государственную программу (комплексную программу) и ее структурные элементы инициируется куратором, ответственным исполнителем, соисполнителями, участниками государственной программы (комплексной программы), иными органами и организациями, в том числе по результатам мониторинга реализации государственных программ (комплексных программ), во исполнение поручений Губернатора области, требований федеральных органов исполнительной власти, </w:t>
            </w:r>
            <w:r w:rsidRPr="00E20D08">
              <w:rPr>
                <w:rFonts w:ascii="Times New Roman" w:hAnsi="Times New Roman" w:cs="Times New Roman"/>
                <w:sz w:val="24"/>
              </w:rPr>
              <w:lastRenderedPageBreak/>
              <w:t>требований контролирующих органов, в целях внесения изменений в порядки предоставления бюджетных средств и в</w:t>
            </w:r>
            <w:proofErr w:type="gramEnd"/>
            <w:r w:rsidRPr="00E20D0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E20D08">
              <w:rPr>
                <w:rFonts w:ascii="Times New Roman" w:hAnsi="Times New Roman" w:cs="Times New Roman"/>
                <w:sz w:val="24"/>
              </w:rPr>
              <w:t>распределение бюджетных средств получателям, а также в случаях внесения изменений в отдельные нормативные правовые акты Российской Федерации и Ярославской области, отсылки к которым содержатся в тексте государственной программы (комплексной программы), или признания их утратившими силу, изменения организационно-штатной структуры органов исполнительной власти Ярославской области, исправления ошибок, опечаток и иных изменений технического характера.</w:t>
            </w:r>
            <w:proofErr w:type="gramEnd"/>
          </w:p>
          <w:p w:rsidR="007623DD" w:rsidRPr="009410B2" w:rsidRDefault="007623DD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44" w:type="dxa"/>
          </w:tcPr>
          <w:p w:rsidR="00E20D08" w:rsidRPr="000E3C5C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E3C5C">
              <w:rPr>
                <w:rFonts w:ascii="Times New Roman" w:hAnsi="Times New Roman" w:cs="Times New Roman"/>
                <w:sz w:val="24"/>
              </w:rPr>
              <w:lastRenderedPageBreak/>
              <w:t>5.2. Подготовка изменений в государственную программу (комплексную программу) и ее структурные элементы инициируется куратором, ответственным исполнителем, соисполнителями, участниками государственной программы (комплексной программы), иными органами и организациями, в том числе по результатам мониторинга реализации государственных программ (комплексных программ).</w:t>
            </w:r>
          </w:p>
          <w:p w:rsidR="00E20D08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 xml:space="preserve">Внесение изменений в государственную программу </w:t>
            </w: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lastRenderedPageBreak/>
              <w:t>(комплексную программу) постановлением Правительства области о внесении изменений в государственную программу (комплексную программу) в системе электронного документооборота органов государственной власти Ярославской области помимо внесения изменений в ГИС ЕИИС УБП «Электронный бюджет Ярославской области» не требуется, за исключением случаев:</w:t>
            </w:r>
          </w:p>
          <w:p w:rsidR="00E20D08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>- изменение состава и значений показателей государственной программы (комплексной программы);</w:t>
            </w:r>
          </w:p>
          <w:p w:rsidR="00E20D08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>- поручения Губернатора области;</w:t>
            </w:r>
          </w:p>
          <w:p w:rsidR="00E20D08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>- требования федеральных органов исполнительной власти;</w:t>
            </w:r>
          </w:p>
          <w:p w:rsidR="00E20D08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>- требования контролирующих органов;</w:t>
            </w:r>
          </w:p>
          <w:p w:rsidR="00E20D08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>- внесение изменений в порядки предоставления бюджетных средств и в распределение бюджетных средств получателям;</w:t>
            </w:r>
          </w:p>
          <w:p w:rsidR="00E20D08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 xml:space="preserve">- внесение изменений в отдельные нормативные правовые акты Российской Федерации и Ярославской области, отсылки к которым содержатся в тексте государственной программы (комплексной программы), или признание их </w:t>
            </w:r>
            <w:proofErr w:type="gramStart"/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>утратившими</w:t>
            </w:r>
            <w:proofErr w:type="gramEnd"/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 xml:space="preserve"> силу;</w:t>
            </w:r>
          </w:p>
          <w:p w:rsidR="00E20D08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>- изменение организационно-штатной структуры органов исполнительной власти Ярославской области;</w:t>
            </w:r>
          </w:p>
          <w:p w:rsidR="007623DD" w:rsidRPr="001D1328" w:rsidRDefault="00E20D08" w:rsidP="00E20D08">
            <w:pPr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D1328">
              <w:rPr>
                <w:rFonts w:ascii="Times New Roman" w:hAnsi="Times New Roman" w:cs="Times New Roman"/>
                <w:sz w:val="24"/>
                <w:highlight w:val="yellow"/>
              </w:rPr>
              <w:t>- исправление ошибок, опечаток и иных изменений технического характера.</w:t>
            </w:r>
          </w:p>
        </w:tc>
      </w:tr>
      <w:tr w:rsidR="00CF025C" w:rsidTr="00B27052">
        <w:tc>
          <w:tcPr>
            <w:tcW w:w="1668" w:type="dxa"/>
          </w:tcPr>
          <w:p w:rsidR="00CF025C" w:rsidRDefault="00CF025C" w:rsidP="00D12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5.6</w:t>
            </w:r>
          </w:p>
          <w:p w:rsidR="00CF025C" w:rsidRPr="008C695D" w:rsidRDefault="00CF025C" w:rsidP="00D12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BC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Методичес</w:t>
            </w:r>
            <w:proofErr w:type="spellEnd"/>
            <w:r w:rsidR="000E3C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рекоменда</w:t>
            </w:r>
            <w:r w:rsidR="000E3C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</w:p>
        </w:tc>
        <w:tc>
          <w:tcPr>
            <w:tcW w:w="6520" w:type="dxa"/>
          </w:tcPr>
          <w:p w:rsidR="00012700" w:rsidRPr="00012700" w:rsidRDefault="00012700" w:rsidP="00012700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5.6. В разделе 3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Перечень мероприятий (результатов)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паспорта комплекса процессных мероприятий приводятся задачи, а также необходимые для их решения мероприятия (результаты), отражающие непосредственный итог действий, совершаемых для решения задач. По каждому мероприятию (результату) приводится его наименование, тип, характеристика, единица измерения по </w:t>
            </w:r>
            <w:hyperlink r:id="rId13" w:history="1">
              <w:r w:rsidRPr="00012700">
                <w:rPr>
                  <w:rFonts w:ascii="Times New Roman" w:hAnsi="Times New Roman" w:cs="Times New Roman"/>
                  <w:sz w:val="24"/>
                </w:rPr>
                <w:t>ОКЕИ</w:t>
              </w:r>
            </w:hyperlink>
            <w:r w:rsidRPr="00012700">
              <w:rPr>
                <w:rFonts w:ascii="Times New Roman" w:hAnsi="Times New Roman" w:cs="Times New Roman"/>
                <w:sz w:val="24"/>
              </w:rPr>
              <w:t xml:space="preserve">, базовое значение и значения по годам реализации комплекса процессных мероприятий, ответственный за реализацию </w:t>
            </w: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мероприятия (результата).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Мероприятие (результат) должно формироваться исходя из принципов конкретности, точности, достоверности, измеримости (</w:t>
            </w:r>
            <w:proofErr w:type="spellStart"/>
            <w:r w:rsidRPr="00012700">
              <w:rPr>
                <w:rFonts w:ascii="Times New Roman" w:hAnsi="Times New Roman" w:cs="Times New Roman"/>
                <w:sz w:val="24"/>
              </w:rPr>
              <w:t>счетности</w:t>
            </w:r>
            <w:proofErr w:type="spellEnd"/>
            <w:r w:rsidRPr="00012700">
              <w:rPr>
                <w:rFonts w:ascii="Times New Roman" w:hAnsi="Times New Roman" w:cs="Times New Roman"/>
                <w:sz w:val="24"/>
              </w:rPr>
              <w:t>), возможности мониторинга, в том числе ежемесячного мониторинга (при необходимости), и выполнения задач структурного элемента государственной программы (комплексной программы).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Мероприятие (результат) должно иметь контрольные точки, отражающие ход его реализации и факт завершения значимых действий по исполнению (достижению) этого мероприятия (результата) и (или) по созданию объекта.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Под объектом в Методических рекомендациях понимается конечный материальный или нематериальный продукт или услуга, приобретение и (или) получение которых планируется в рамках исполнения (достижения) мероприятия (результата).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Контрольной точкой является документально подтверждаемое событие, отражающее факт завершения значимых действий по исполнению (достижению) мероприятия (результата) и (или) созданию объекта.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Наименование мероприятия (результата) должно быть сформулировано в виде завершенного действия, </w:t>
            </w:r>
            <w:proofErr w:type="gramStart"/>
            <w:r w:rsidRPr="00012700">
              <w:rPr>
                <w:rFonts w:ascii="Times New Roman" w:hAnsi="Times New Roman" w:cs="Times New Roman"/>
                <w:sz w:val="24"/>
              </w:rPr>
              <w:t>характеризующего</w:t>
            </w:r>
            <w:proofErr w:type="gramEnd"/>
            <w:r w:rsidRPr="00012700">
              <w:rPr>
                <w:rFonts w:ascii="Times New Roman" w:hAnsi="Times New Roman" w:cs="Times New Roman"/>
                <w:sz w:val="24"/>
              </w:rPr>
              <w:t xml:space="preserve"> в том числе количество создаваемых (приобретаемых) материальных и нематериальных объектов, объем оказываемых услуг или выполняемых работ.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Наименование мероприятия (результата) не должно: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дублировать наименование показателя, задачи, иного мероприятия (результата) комплекса процессных мероприятий, а также их контрольных точек;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дублировать наименования показателей, мероприятий (результатов) иных структурных элементов государственной программы (комплексной программы);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- содержать значения мероприятия (результата) и указание </w:t>
            </w: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на период реализации;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содержать указание на два и более мероприятия (результата);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содержать наименования нормативных правовых актов и иных документов;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содержать указание на виды и формы государственной поддержки.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При разработке мероприятий (результатов) и контрольных точек комплексов процессных мероприятий государственных программ (комплексных программ) рекомендуется использовать типы мероприятий (результатов) и контрольные точки в соответствии с </w:t>
            </w:r>
            <w:hyperlink r:id="rId14" w:history="1">
              <w:r w:rsidRPr="00012700">
                <w:rPr>
                  <w:rFonts w:ascii="Times New Roman" w:hAnsi="Times New Roman" w:cs="Times New Roman"/>
                  <w:sz w:val="24"/>
                </w:rPr>
                <w:t>перечнем</w:t>
              </w:r>
            </w:hyperlink>
            <w:r w:rsidRPr="00012700">
              <w:rPr>
                <w:rFonts w:ascii="Times New Roman" w:hAnsi="Times New Roman" w:cs="Times New Roman"/>
                <w:sz w:val="24"/>
              </w:rPr>
              <w:t xml:space="preserve"> типов мероприятий (результатов) и их контрольных точек комплексов процессных мероприятий, приведенным в приложении 4 к Методическим рекомендациям. Каждому мероприятию (результату) присваивается один из следующих типов мероприятий (результатов):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оказание услуг (выполнение работ);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осуществление текущей деятельности;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повышение квалификации кадров;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выплаты физическим лицам;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приобретение товаров, работ, услуг;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жилищное обеспечение граждан;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резервы.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Оказание услуг (выполнение работ)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в рамках которых предусматривается предоставление субсидий, субвенций на выполнение государственного задания на оказание государственных услуг (выполнение работ).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Наименование мероприятия (результата) с типом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Оказание услуг (выполнение работ)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формулируется исходя из </w:t>
            </w: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содержания оказываемых услуг (выполняемых работ). Значения такого мероприятия (результата) устанавливаются в соответствии с показателями, характеризующими объем государственных услуг (выполняемых работ), установленными в государственном задании.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В рамках мероприятий (результатов) с типом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Осуществление текущей деятельности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предусматривается обеспечение условий для осуществления текущей деятельности ответственного исполнителя (соисполнителя) государственной программы (комплексной программы) и функционально подчиненных ему учреждений.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Для мероприятий (результатов) с типом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Осуществление текущей деятельности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значения и контрольные точки не устанавливаются, за исключением мероприятий по осуществлению закупок товаров, работ, услуг.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Повышение квалификации кадров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предусматривающих реализацию программ профессиональной переподготовки и (или) повышения квалификации кадров.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В качестве наименования мероприятия (результата) с таким типом рекомендуется использовать формулировку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Обеспечено повышение квалификации (профессиональная переподготовка) кадров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с уточнением в такой формулировке целевой группы обучающихся.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Выплаты физическим лицам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предусматривающих осуществление выплат пособий, компенсаций, а также социальных и прочих выплат различным категориям граждан.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В качестве наименования мероприятия (результата) с таким типом рекомендуется использовать формулировку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Обеспечена государственная поддержка граждан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с </w:t>
            </w: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уточнением в такой формулировке целевой группы получателей.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Значение такого мероприятия (результата) рекомендуется устанавливать в зависимости от численности получателей пособий, компенсаций и прочих выплат.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Приобретение товаров, работ, услуг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в рамках которых осуществляются закупки товаров, работ и услуг.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Значение результата и единица его измерения устанавливаются в зависимости от объекта закупки и ее объема.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Жилищное обеспечение граждан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в рамках которых осуществляются выплаты гражданам на улучшение жилищных условий.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В качестве наименования мероприятия (результата) с таким типом рекомендуется использовать формулировку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Жилищное обеспечение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с указанием конкретной целевой группы.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Резервы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исключительно для вида расходов 870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Резервные средства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бюджетной классификации Российской Федерации. Значения и контрольные точки для такого мероприятия (результата) не устанавливаются.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При описании характеристики мероприятия (результата) приводятся дополнительные качественные и количественные параметры, которым должно соответствовать мероприятие (результат). Формулировка характеристики мероприятия (результата) должна уточнять такое мероприятие (результат) и не дублировать его наименование. В случае если выполнение мероприятия (достижение результата) предусмотрено по годам </w:t>
            </w: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реализации комплекса процессных мероприятий, характеристика такого результата (мероприятия) должна уточнять его качественные и количественные параметры по каждому году.</w:t>
            </w:r>
          </w:p>
          <w:p w:rsidR="00CF025C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Паспорт комплекса процессных мероприятий должен содержать хотя бы одно мероприятие (результат) с установленными значениями по годам реализации.</w:t>
            </w:r>
          </w:p>
        </w:tc>
        <w:tc>
          <w:tcPr>
            <w:tcW w:w="6544" w:type="dxa"/>
          </w:tcPr>
          <w:p w:rsidR="00012700" w:rsidRPr="00012700" w:rsidRDefault="00012700" w:rsidP="00012700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 xml:space="preserve">5.6. В разделе 3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Перечень мероприятий (результатов)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паспорта комплекса процессных мероприятий приводятся задачи, а также необходимые для их решения мероприятия (результаты), отражающие непосредственный итог действий, совершаемых для решения задач. По каждому мероприятию (результату) приводится его наименование, тип, характеристика, единица измерения по </w:t>
            </w:r>
            <w:hyperlink r:id="rId15" w:history="1">
              <w:r w:rsidRPr="00012700">
                <w:rPr>
                  <w:rFonts w:ascii="Times New Roman" w:hAnsi="Times New Roman" w:cs="Times New Roman"/>
                  <w:sz w:val="24"/>
                </w:rPr>
                <w:t>ОКЕИ</w:t>
              </w:r>
            </w:hyperlink>
            <w:r w:rsidRPr="00012700">
              <w:rPr>
                <w:rFonts w:ascii="Times New Roman" w:hAnsi="Times New Roman" w:cs="Times New Roman"/>
                <w:sz w:val="24"/>
              </w:rPr>
              <w:t>, базовое значение и значения по годам реализации комплекса процессных мероприятий, ответственный за реализацию мероприятия (результата).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Мероприятие (результат) должно формироваться исходя из принципов конкретности, точности, достоверности, измеримости (</w:t>
            </w:r>
            <w:proofErr w:type="spellStart"/>
            <w:r w:rsidRPr="00012700">
              <w:rPr>
                <w:rFonts w:ascii="Times New Roman" w:hAnsi="Times New Roman" w:cs="Times New Roman"/>
                <w:sz w:val="24"/>
              </w:rPr>
              <w:t>счетности</w:t>
            </w:r>
            <w:proofErr w:type="spellEnd"/>
            <w:r w:rsidRPr="00012700">
              <w:rPr>
                <w:rFonts w:ascii="Times New Roman" w:hAnsi="Times New Roman" w:cs="Times New Roman"/>
                <w:sz w:val="24"/>
              </w:rPr>
              <w:t>), возможности мониторинга, в том числе ежемесячного мониторинга (при необходимости), и выполнения задач структурного элемента государственной программы (комплексной программы).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Мероприятие (результат) должно иметь контрольные точки, отражающие ход его реализации и факт завершения значимых действий по исполнению (достижению) этого мероприятия (результата) и (или) по созданию объекта.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Под объектом в Методических рекомендациях понимается конечный материальный или нематериальный продукт или услуга, приобретение и (или) получение которых планируется в рамках исполнения (достижения) мероприятия (результата).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Контрольной точкой является документально подтверждаемое событие, отражающее факт завершения значимых действий по исполнению (достижению) мероприятия (результата) и (или) созданию объекта.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Наименование мероприятия (результата) должно быть сформулировано в виде завершенного действия, </w:t>
            </w:r>
            <w:proofErr w:type="gramStart"/>
            <w:r w:rsidRPr="00012700">
              <w:rPr>
                <w:rFonts w:ascii="Times New Roman" w:hAnsi="Times New Roman" w:cs="Times New Roman"/>
                <w:sz w:val="24"/>
              </w:rPr>
              <w:t>характеризующего</w:t>
            </w:r>
            <w:proofErr w:type="gramEnd"/>
            <w:r w:rsidRPr="00012700">
              <w:rPr>
                <w:rFonts w:ascii="Times New Roman" w:hAnsi="Times New Roman" w:cs="Times New Roman"/>
                <w:sz w:val="24"/>
              </w:rPr>
              <w:t xml:space="preserve"> в том числе количество создаваемых (приобретаемых) материальных и нематериальных объектов, объем оказываемых услуг или выполняемых работ.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Наименование мероприятия (результата) не должно: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дублировать наименование показателя, задачи, иного мероприятия (результата) комплекса процессных мероприятий, а также их контрольных точек;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дублировать наименования показателей, мероприятий (результатов) иных структурных элементов государственной программы (комплексной программы);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содержать значения мероприятия (результата) и указание на период реализации;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- содержать указание на два и более мероприятия (результата);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содержать наименования нормативных правовых актов и иных документов;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содержать указание на виды и формы государственной поддержки.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При разработке мероприятий (результатов) и контрольных точек комплексов процессных мероприятий государственных программ (комплексных программ) рекомендуется использовать типы мероприятий (результатов) и контрольные точки в соответствии с </w:t>
            </w:r>
            <w:hyperlink r:id="rId16" w:history="1">
              <w:r w:rsidRPr="00012700">
                <w:rPr>
                  <w:rFonts w:ascii="Times New Roman" w:hAnsi="Times New Roman" w:cs="Times New Roman"/>
                  <w:sz w:val="24"/>
                </w:rPr>
                <w:t>перечнем</w:t>
              </w:r>
            </w:hyperlink>
            <w:r w:rsidRPr="00012700">
              <w:rPr>
                <w:rFonts w:ascii="Times New Roman" w:hAnsi="Times New Roman" w:cs="Times New Roman"/>
                <w:sz w:val="24"/>
              </w:rPr>
              <w:t xml:space="preserve"> типов мероприятий (результатов) и их контрольных точек комплексов процессных мероприятий, приведенным в приложении 4 к Методическим рекомендациям. Каждому мероприятию (результату) присваивается один из следующих типов мероприятий (результатов):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оказание услуг (выполнение работ);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осуществление текущей деятельности;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повышение квалификации кадров;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выплаты физическим лицам;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приобретение товаров, работ, услуг;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жилищное обеспечение граждан;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- резервы.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Оказание услуг (выполнение работ)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в рамках которых предусматривается предоставление субсидий, субвенций на выполнение государственного задания на оказание государственных услуг (выполнение работ).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Наименование мероприятия (результата) с типом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Оказание услуг (выполнение работ)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формулируется исходя из содержания оказываемых услуг (выполняемых работ). </w:t>
            </w: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Значения такого мероприятия (результата) устанавливаются в соответствии с показателями, характеризующими объем государственных услуг (выполняемых работ), установленными в государственном задании.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В рамках мероприятий (результатов) с типом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Осуществление текущей деятельности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предусматривается обеспечение условий для осуществления текущей деятельности ответственного исполнителя (соисполнителя) государственной программы (комплексной программы) и функционально подчиненных ему учреждений.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Для мероприятий (результатов) с типом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Осуществление текущей деятельности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значения и контрольные точки не устанавливаются, за исключением мероприятий по осуществлению закупок товаров, работ, услуг.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Повышение квалификации кадров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предусматривающих реализацию программ профессиональной переподготовки и (или) повышения квалификации кадров.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В качестве наименования мероприятия (результата) с таким типом рекомендуется использовать формулировку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Обеспечено повышение квалификации (профессиональная переподготовка) кадров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с уточнением в такой формулировке целевой группы обучающихся.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Выплаты физическим лицам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предусматривающих осуществление выплат пособий, компенсаций, а также социальных и прочих выплат различным категориям граждан.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В качестве наименования мероприятия (результата) с таким типом рекомендуется использовать формулировку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Обеспечена государственная поддержка граждан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с уточнением в такой формулировке целевой группы </w:t>
            </w: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получателей.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Значение такого мероприятия (результата) рекомендуется устанавливать в зависимости от численности получателей пособий, компенсаций и прочих выплат.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Приобретение товаров, работ, услуг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в рамках которых осуществляются закупки товаров, работ и услуг.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Значение результата и единица его измерения устанавливаются в зависимости от объекта закупки и ее объема.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Жилищное обеспечение граждан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для мероприятий (результатов), в рамках которых осуществляются выплаты гражданам на улучшение жилищных условий.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В качестве наименования мероприятия (результата) с таким типом рекомендуется использовать формулировку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Жилищное обеспечение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с указанием конкретной целевой группы.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Тип мероприятия (результата)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Резервы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используется исключительно для вида расходов 870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12700">
              <w:rPr>
                <w:rFonts w:ascii="Times New Roman" w:hAnsi="Times New Roman" w:cs="Times New Roman"/>
                <w:sz w:val="24"/>
              </w:rPr>
              <w:t>Резервные средства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12700">
              <w:rPr>
                <w:rFonts w:ascii="Times New Roman" w:hAnsi="Times New Roman" w:cs="Times New Roman"/>
                <w:sz w:val="24"/>
              </w:rPr>
              <w:t xml:space="preserve"> бюджетной классификации Российской Федерации. Значения и контрольные точки для такого мероприятия (результата) не устанавливаются.</w:t>
            </w:r>
          </w:p>
          <w:p w:rsidR="00012700" w:rsidRPr="00012700" w:rsidRDefault="00012700" w:rsidP="00012700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 xml:space="preserve">При описании характеристики мероприятия (результата) приводятся дополнительные качественные и количественные параметры, которым должно соответствовать мероприятие (результат). Формулировка характеристики мероприятия (результата) должна уточнять такое мероприятие (результат) и не дублировать его наименование. В случае если выполнение мероприятия (достижение результата) предусмотрено по годам реализации комплекса процессных мероприятий, характеристика такого результата </w:t>
            </w:r>
            <w:r w:rsidRPr="00012700">
              <w:rPr>
                <w:rFonts w:ascii="Times New Roman" w:hAnsi="Times New Roman" w:cs="Times New Roman"/>
                <w:sz w:val="24"/>
              </w:rPr>
              <w:lastRenderedPageBreak/>
              <w:t>(мероприятия) должна уточнять его качественные и количественные параметры по каждому году.</w:t>
            </w:r>
          </w:p>
          <w:p w:rsidR="00CF025C" w:rsidRDefault="00012700" w:rsidP="0001270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12700">
              <w:rPr>
                <w:rFonts w:ascii="Times New Roman" w:hAnsi="Times New Roman" w:cs="Times New Roman"/>
                <w:sz w:val="24"/>
              </w:rPr>
              <w:t>Паспорт комплекса процессных мероприятий должен содержать хотя бы одно мероприятие (результат) с установленными значениями по годам реализации.</w:t>
            </w:r>
          </w:p>
          <w:p w:rsidR="00B27052" w:rsidRPr="008C695D" w:rsidRDefault="00B27052" w:rsidP="00B27052">
            <w:pPr>
              <w:spacing w:before="2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052">
              <w:rPr>
                <w:rFonts w:ascii="Times New Roman" w:hAnsi="Times New Roman" w:cs="Times New Roman"/>
                <w:sz w:val="24"/>
                <w:highlight w:val="yellow"/>
              </w:rPr>
              <w:t xml:space="preserve">Допускается использование типа мероприятия (результата) отличного от типов мероприятий (результатов), установленных перечнем типов мероприятий (результатов) и их контрольных точек комплексов процессных мероприятий, приведенным в приложении 4 к Методическим рекомендациям, в мероприятиях (результатах) декомпозированных </w:t>
            </w:r>
            <w:proofErr w:type="gramStart"/>
            <w:r w:rsidR="00FA4C1E">
              <w:rPr>
                <w:rFonts w:ascii="Times New Roman" w:hAnsi="Times New Roman" w:cs="Times New Roman"/>
                <w:sz w:val="24"/>
                <w:highlight w:val="yellow"/>
              </w:rPr>
              <w:t>с</w:t>
            </w:r>
            <w:proofErr w:type="gramEnd"/>
            <w:r w:rsidR="00FA4C1E">
              <w:rPr>
                <w:rFonts w:ascii="Times New Roman" w:hAnsi="Times New Roman" w:cs="Times New Roman"/>
                <w:sz w:val="24"/>
                <w:highlight w:val="yellow"/>
              </w:rPr>
              <w:t xml:space="preserve"> федерального </w:t>
            </w:r>
            <w:r w:rsidRPr="00B27052">
              <w:rPr>
                <w:rFonts w:ascii="Times New Roman" w:hAnsi="Times New Roman" w:cs="Times New Roman"/>
                <w:sz w:val="24"/>
                <w:highlight w:val="yellow"/>
              </w:rPr>
              <w:t>на региональный уровень.</w:t>
            </w:r>
          </w:p>
        </w:tc>
      </w:tr>
      <w:tr w:rsidR="00CF025C" w:rsidTr="00B27052">
        <w:tc>
          <w:tcPr>
            <w:tcW w:w="1668" w:type="dxa"/>
          </w:tcPr>
          <w:p w:rsidR="00CF025C" w:rsidRDefault="00CF025C" w:rsidP="00B27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 w:rsidR="00B27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12060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Методических рекомендаций</w:t>
            </w:r>
          </w:p>
        </w:tc>
        <w:tc>
          <w:tcPr>
            <w:tcW w:w="6520" w:type="dxa"/>
          </w:tcPr>
          <w:p w:rsidR="00B27052" w:rsidRPr="00B27052" w:rsidRDefault="00B27052" w:rsidP="00B27052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t>9. Внесение изменений в паспорта государственной программы</w:t>
            </w:r>
            <w:r w:rsidR="00D0270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27052">
              <w:rPr>
                <w:rFonts w:ascii="Times New Roman" w:hAnsi="Times New Roman" w:cs="Times New Roman"/>
                <w:sz w:val="24"/>
              </w:rPr>
              <w:t>(комплексной программы), комплекса процессных мероприятий</w:t>
            </w:r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t xml:space="preserve">9.1. </w:t>
            </w:r>
            <w:proofErr w:type="gramStart"/>
            <w:r w:rsidRPr="00B27052">
              <w:rPr>
                <w:rFonts w:ascii="Times New Roman" w:hAnsi="Times New Roman" w:cs="Times New Roman"/>
                <w:sz w:val="24"/>
              </w:rPr>
              <w:t>Внесение изменений в паспорт государственной программы (комплексной программы) осуществляется по инициативе куратора, ответственного исполнителя, соисполнителей и участников государственной программы (комплексной программы), в том числе по результатам мониторинга реализации государственных программ (комплексных программ), во исполнение поручений Губернатора области, требований федеральных органов исполнительной власти, требований контролирующих органов, в целях внесения изменений в порядки предоставления бюджетных средств и в распределение бюджетных средств получателям</w:t>
            </w:r>
            <w:proofErr w:type="gramEnd"/>
            <w:r w:rsidRPr="00B27052">
              <w:rPr>
                <w:rFonts w:ascii="Times New Roman" w:hAnsi="Times New Roman" w:cs="Times New Roman"/>
                <w:sz w:val="24"/>
              </w:rPr>
              <w:t xml:space="preserve">, а также в случаях внесения изменений в отдельные нормативные правовые акты Российской Федерации и Ярославской области, отсылки к которым содержатся в тексте государственной программы (комплексной программы), или признания их </w:t>
            </w:r>
            <w:proofErr w:type="gramStart"/>
            <w:r w:rsidRPr="00B27052">
              <w:rPr>
                <w:rFonts w:ascii="Times New Roman" w:hAnsi="Times New Roman" w:cs="Times New Roman"/>
                <w:sz w:val="24"/>
              </w:rPr>
              <w:lastRenderedPageBreak/>
              <w:t>утратившими</w:t>
            </w:r>
            <w:proofErr w:type="gramEnd"/>
            <w:r w:rsidRPr="00B27052">
              <w:rPr>
                <w:rFonts w:ascii="Times New Roman" w:hAnsi="Times New Roman" w:cs="Times New Roman"/>
                <w:sz w:val="24"/>
              </w:rPr>
              <w:t xml:space="preserve"> силу, изменения организационно-штатной структуры органов исполнительной власти Ярославской области, исправления ошибок, опечаток и иных изменений технического характера.</w:t>
            </w:r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t>9.2. Внесение изменений в паспорт государственной программы (комплексной программы) осуществляется путем подготовки проекта постановления Правительства области о внесении изменений в постановление Правительства области об утверждении государственной программы (комплексной программы).</w:t>
            </w:r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t xml:space="preserve">9.3. Ответственным исполнителем государственной программы (комплексной программы) обеспечивается согласование проекта постановления Правительства области о внесении изменений в постановление Правительства области об утверждении государственной программы (комплексной программы) с заинтересованными органами исполнительной власти Ярославской области, иными государственными органами и организациями в соответствии с требованиями </w:t>
            </w:r>
            <w:hyperlink r:id="rId17" w:history="1">
              <w:r w:rsidRPr="00B27052">
                <w:rPr>
                  <w:rFonts w:ascii="Times New Roman" w:hAnsi="Times New Roman" w:cs="Times New Roman"/>
                  <w:sz w:val="24"/>
                </w:rPr>
                <w:t>пункта 5.4 раздела 5</w:t>
              </w:r>
            </w:hyperlink>
            <w:r w:rsidRPr="00B27052">
              <w:rPr>
                <w:rFonts w:ascii="Times New Roman" w:hAnsi="Times New Roman" w:cs="Times New Roman"/>
                <w:sz w:val="24"/>
              </w:rPr>
              <w:t xml:space="preserve"> Положения:</w:t>
            </w:r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052">
              <w:rPr>
                <w:rFonts w:ascii="Times New Roman" w:hAnsi="Times New Roman" w:cs="Times New Roman"/>
                <w:sz w:val="24"/>
              </w:rPr>
              <w:t>- являющимися соисполнителями, участниками государственной программы (комплексной программы) в случае изменения параметров структурных элементов государственной программы (комплексной программы), реализация которых осуществляется такими соисполнителями, участниками;</w:t>
            </w:r>
            <w:proofErr w:type="gramEnd"/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t>- ответственными исполнителями комплексных программ в случае внесения изменений в показатели, параметры мероприятий (результатов), относящихся к сфере реализации комплексных программ;</w:t>
            </w:r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t>- министерством экономического развития Ярославской области и министерством финансов Ярославской области (при отсутствии разногласий).</w:t>
            </w:r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lastRenderedPageBreak/>
              <w:t>9.4. Изменение паспорта государственной программы (комплексной программы), содержащее изменение параметров ее финансового обеспечения, должно предусматривать взаимосвязанные изменения иных параметров государственной программы (комплексной программы), в том числе ее показателей, задач, а также соответствующие изменения параметров структурных элементов государственной программы (комплексной программы).</w:t>
            </w:r>
          </w:p>
          <w:p w:rsidR="00B27052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t xml:space="preserve">9.5. </w:t>
            </w:r>
            <w:proofErr w:type="gramStart"/>
            <w:r w:rsidRPr="00B27052">
              <w:rPr>
                <w:rFonts w:ascii="Times New Roman" w:hAnsi="Times New Roman" w:cs="Times New Roman"/>
                <w:sz w:val="24"/>
              </w:rPr>
              <w:t>В случае если изменение паспорта государственной программы (комплексной программы) включает изменение значений показателей по муниципальным образованиям области, ответственный исполнитель государственной программы (комплексной программы) осуществляет подготовку и направление в установленном порядке органам муниципальных образований области соглашений (дополнительных соглашений) о реализации на территории муниципальных образований государственных программ, направленных на достижение установленных в них целей и показателей (при необходимости).</w:t>
            </w:r>
            <w:proofErr w:type="gramEnd"/>
          </w:p>
          <w:p w:rsidR="00CF025C" w:rsidRPr="009410B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B27052">
              <w:rPr>
                <w:rFonts w:ascii="Times New Roman" w:hAnsi="Times New Roman" w:cs="Times New Roman"/>
                <w:sz w:val="24"/>
              </w:rPr>
              <w:t>9.6. Внесение изменений в паспорт комплекса процессных мероприятий осуществляется в форме приказа нормативно-правового характера (для органов исполнительной власти Ярославской области) или приказа Правительства области (для структурного подраз</w:t>
            </w:r>
            <w:r>
              <w:rPr>
                <w:rFonts w:ascii="Times New Roman" w:hAnsi="Times New Roman" w:cs="Times New Roman"/>
                <w:sz w:val="24"/>
              </w:rPr>
              <w:t>деления Правительства области).</w:t>
            </w:r>
          </w:p>
        </w:tc>
        <w:tc>
          <w:tcPr>
            <w:tcW w:w="6544" w:type="dxa"/>
          </w:tcPr>
          <w:p w:rsidR="00B27052" w:rsidRPr="002C6AD9" w:rsidRDefault="00B27052" w:rsidP="00D0270F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2C6AD9">
              <w:rPr>
                <w:rFonts w:ascii="Times New Roman" w:hAnsi="Times New Roman" w:cs="Times New Roman"/>
                <w:sz w:val="24"/>
                <w:highlight w:val="yellow"/>
              </w:rPr>
              <w:lastRenderedPageBreak/>
              <w:t>9. Внесение изменений в паспорта государственной программы</w:t>
            </w:r>
            <w:r w:rsidRPr="002C6AD9" w:rsidDel="005A5B1C">
              <w:rPr>
                <w:rFonts w:ascii="Times New Roman" w:hAnsi="Times New Roman" w:cs="Times New Roman"/>
                <w:sz w:val="24"/>
                <w:highlight w:val="yellow"/>
              </w:rPr>
              <w:t xml:space="preserve"> </w:t>
            </w:r>
            <w:r w:rsidRPr="002C6AD9">
              <w:rPr>
                <w:rFonts w:ascii="Times New Roman" w:hAnsi="Times New Roman" w:cs="Times New Roman"/>
                <w:sz w:val="24"/>
                <w:highlight w:val="yellow"/>
              </w:rPr>
              <w:t>(комплексной программы), комплекса процессных мероприятий</w:t>
            </w:r>
          </w:p>
          <w:p w:rsidR="00B27052" w:rsidRPr="002C6AD9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  <w:p w:rsidR="00B27052" w:rsidRPr="002C6AD9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2C6AD9">
              <w:rPr>
                <w:rFonts w:ascii="Times New Roman" w:hAnsi="Times New Roman" w:cs="Times New Roman"/>
                <w:sz w:val="24"/>
                <w:highlight w:val="yellow"/>
              </w:rPr>
              <w:t>9.1. Внесение изменений в паспорт государственной программы (комплексной программы) осуществляется с учетом требований раздела 5 Положения.</w:t>
            </w:r>
          </w:p>
          <w:p w:rsidR="00B27052" w:rsidRPr="002C6AD9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2C6AD9">
              <w:rPr>
                <w:rFonts w:ascii="Times New Roman" w:hAnsi="Times New Roman" w:cs="Times New Roman"/>
                <w:sz w:val="24"/>
                <w:highlight w:val="yellow"/>
              </w:rPr>
              <w:t>9.2. Изменение паспорта государственной программы (комплексной программы), содержащее изменение параметров ее финансового обеспечения, должно предусматривать взаимосвязанные изменения иных параметров государственной программы (комплексной программы), в том числе ее показателей, задач, а также соответствующие изменения параметров структурных элементов государственной программы (комплексной программы).</w:t>
            </w:r>
          </w:p>
          <w:p w:rsidR="00B27052" w:rsidRPr="002C6AD9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2C6AD9">
              <w:rPr>
                <w:rFonts w:ascii="Times New Roman" w:hAnsi="Times New Roman" w:cs="Times New Roman"/>
                <w:sz w:val="24"/>
                <w:highlight w:val="yellow"/>
              </w:rPr>
              <w:t xml:space="preserve">9.3. </w:t>
            </w:r>
            <w:proofErr w:type="gramStart"/>
            <w:r w:rsidRPr="002C6AD9">
              <w:rPr>
                <w:rFonts w:ascii="Times New Roman" w:hAnsi="Times New Roman" w:cs="Times New Roman"/>
                <w:sz w:val="24"/>
                <w:highlight w:val="yellow"/>
              </w:rPr>
              <w:t xml:space="preserve">В случае если изменение паспорта государственной программы (комплексной программы) включает изменение значений показателей по муниципальным образованиям области, ответственный исполнитель государственной </w:t>
            </w:r>
            <w:r w:rsidRPr="002C6AD9">
              <w:rPr>
                <w:rFonts w:ascii="Times New Roman" w:hAnsi="Times New Roman" w:cs="Times New Roman"/>
                <w:sz w:val="24"/>
                <w:highlight w:val="yellow"/>
              </w:rPr>
              <w:lastRenderedPageBreak/>
              <w:t>программы (комплексной программы) осуществляет подготовку и направление в установленном порядке органам муниципальных образований области соглашений (дополнительных соглашений) о реализации на территории муниципальных образований государственных программ, направленных на достижение установленных в них целей и показателей (при необходимости).</w:t>
            </w:r>
            <w:proofErr w:type="gramEnd"/>
          </w:p>
          <w:p w:rsidR="00CF025C" w:rsidRPr="00B27052" w:rsidRDefault="00B27052" w:rsidP="00B27052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C6AD9">
              <w:rPr>
                <w:rFonts w:ascii="Times New Roman" w:hAnsi="Times New Roman" w:cs="Times New Roman"/>
                <w:sz w:val="24"/>
                <w:highlight w:val="yellow"/>
              </w:rPr>
              <w:t>9.4. Внесение изменений в паспорт комплекса процессных мероприятий осуществляется в форме приказа нормативно-правового характера (для органов исполнительной власти Ярославской области) или приказа Правительства области (для структурного подразделения Правительства области).</w:t>
            </w:r>
          </w:p>
        </w:tc>
      </w:tr>
      <w:tr w:rsidR="00322363" w:rsidTr="00B27052">
        <w:tc>
          <w:tcPr>
            <w:tcW w:w="1668" w:type="dxa"/>
          </w:tcPr>
          <w:p w:rsidR="008C28CB" w:rsidRDefault="008C28CB" w:rsidP="008C2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</w:t>
            </w:r>
            <w:r w:rsidR="00D027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70F">
              <w:rPr>
                <w:rFonts w:ascii="Times New Roman" w:hAnsi="Times New Roman" w:cs="Times New Roman"/>
                <w:sz w:val="24"/>
                <w:szCs w:val="24"/>
              </w:rPr>
              <w:t>раздела 5</w:t>
            </w:r>
          </w:p>
          <w:p w:rsidR="00322363" w:rsidRDefault="00085D52" w:rsidP="00D02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D0270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паспорта </w:t>
            </w:r>
            <w:r w:rsidR="00D0270F">
              <w:rPr>
                <w:rFonts w:ascii="Times New Roman" w:hAnsi="Times New Roman" w:cs="Times New Roman"/>
                <w:sz w:val="24"/>
                <w:szCs w:val="24"/>
              </w:rPr>
              <w:t>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</w:t>
            </w:r>
            <w:r w:rsidR="00D02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Методи-ческим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рекомендациям</w:t>
            </w:r>
          </w:p>
        </w:tc>
        <w:tc>
          <w:tcPr>
            <w:tcW w:w="6520" w:type="dxa"/>
          </w:tcPr>
          <w:p w:rsidR="00D0270F" w:rsidRPr="002B1EA6" w:rsidRDefault="00D0270F" w:rsidP="00D0270F">
            <w:pPr>
              <w:pStyle w:val="26"/>
              <w:keepNext/>
              <w:shd w:val="clear" w:color="auto" w:fill="auto"/>
              <w:spacing w:after="0"/>
              <w:ind w:left="1134" w:right="824" w:firstLine="567"/>
              <w:rPr>
                <w:b w:val="0"/>
              </w:rPr>
            </w:pPr>
          </w:p>
          <w:tbl>
            <w:tblPr>
              <w:tblStyle w:val="a4"/>
              <w:tblW w:w="4977" w:type="pct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1418"/>
              <w:gridCol w:w="992"/>
              <w:gridCol w:w="992"/>
              <w:gridCol w:w="1133"/>
            </w:tblGrid>
            <w:tr w:rsidR="00D0270F" w:rsidRPr="00FA4C1E" w:rsidTr="002C6AD9">
              <w:tc>
                <w:tcPr>
                  <w:tcW w:w="1380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 xml:space="preserve">Задача, мероприятие </w:t>
                  </w:r>
                </w:p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(результат)/ контрольная точка</w:t>
                  </w:r>
                </w:p>
              </w:tc>
              <w:tc>
                <w:tcPr>
                  <w:tcW w:w="1132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Дата наступления контрольной точки</w:t>
                  </w:r>
                </w:p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92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Ответ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ствен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ный ис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полни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тель</w:t>
                  </w:r>
                  <w:proofErr w:type="gramStart"/>
                  <w:r w:rsidRPr="00FA4C1E">
                    <w:rPr>
                      <w:b w:val="0"/>
                      <w:sz w:val="24"/>
                      <w:szCs w:val="24"/>
                      <w:vertAlign w:val="superscript"/>
                    </w:rPr>
                    <w:t>1</w:t>
                  </w:r>
                  <w:proofErr w:type="gramEnd"/>
                </w:p>
              </w:tc>
              <w:tc>
                <w:tcPr>
                  <w:tcW w:w="792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Вид под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твержда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ющего доку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мента</w:t>
                  </w:r>
                  <w:proofErr w:type="gramStart"/>
                  <w:r w:rsidRPr="00FA4C1E">
                    <w:rPr>
                      <w:b w:val="0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904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ind w:left="-113" w:right="-113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Информаци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онная система</w:t>
                  </w:r>
                  <w:r w:rsidRPr="00FA4C1E">
                    <w:rPr>
                      <w:b w:val="0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</w:tr>
          </w:tbl>
          <w:p w:rsidR="00D0270F" w:rsidRPr="00FA4C1E" w:rsidRDefault="00D0270F" w:rsidP="00D0270F">
            <w:pPr>
              <w:keepNext/>
              <w:rPr>
                <w:rFonts w:cs="Times New Roman"/>
                <w:sz w:val="24"/>
                <w:szCs w:val="24"/>
              </w:rPr>
            </w:pPr>
          </w:p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1417"/>
              <w:gridCol w:w="1027"/>
              <w:gridCol w:w="943"/>
              <w:gridCol w:w="1177"/>
            </w:tblGrid>
            <w:tr w:rsidR="00D0270F" w:rsidRPr="00FA4C1E" w:rsidTr="002C6AD9">
              <w:trPr>
                <w:tblHeader/>
              </w:trPr>
              <w:tc>
                <w:tcPr>
                  <w:tcW w:w="1374" w:type="pct"/>
                </w:tcPr>
                <w:p w:rsidR="00D0270F" w:rsidRPr="00FA4C1E" w:rsidRDefault="00D0270F" w:rsidP="00D0270F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26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6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9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35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5</w:t>
                  </w:r>
                </w:p>
              </w:tc>
            </w:tr>
            <w:tr w:rsidR="00D0270F" w:rsidRPr="00FA4C1E" w:rsidTr="00873178">
              <w:tc>
                <w:tcPr>
                  <w:tcW w:w="5000" w:type="pct"/>
                  <w:gridSpan w:val="5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Наименование задачи комплекса процессных мероприятий</w:t>
                  </w:r>
                </w:p>
              </w:tc>
            </w:tr>
            <w:tr w:rsidR="002C6AD9" w:rsidRPr="00FA4C1E" w:rsidTr="002C6AD9">
              <w:tc>
                <w:tcPr>
                  <w:tcW w:w="1374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Мероприятие (результат) «Наименование» 1</w:t>
                  </w:r>
                </w:p>
              </w:tc>
              <w:tc>
                <w:tcPr>
                  <w:tcW w:w="112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81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5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2C6AD9" w:rsidRPr="00FA4C1E" w:rsidTr="002C6AD9">
              <w:tc>
                <w:tcPr>
                  <w:tcW w:w="1374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Контрольная точка 1.1</w:t>
                  </w:r>
                </w:p>
              </w:tc>
              <w:tc>
                <w:tcPr>
                  <w:tcW w:w="112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81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5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2C6AD9" w:rsidRPr="00FA4C1E" w:rsidTr="002C6AD9">
              <w:tc>
                <w:tcPr>
                  <w:tcW w:w="1374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Контрольная точка 1.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>n</w:t>
                  </w:r>
                </w:p>
              </w:tc>
              <w:tc>
                <w:tcPr>
                  <w:tcW w:w="112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81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5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2C6AD9" w:rsidRPr="00FA4C1E" w:rsidTr="002C6AD9">
              <w:tc>
                <w:tcPr>
                  <w:tcW w:w="1374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Мероприятие (результат) «Наименование»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 xml:space="preserve"> N</w:t>
                  </w:r>
                </w:p>
              </w:tc>
              <w:tc>
                <w:tcPr>
                  <w:tcW w:w="112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81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5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2C6AD9" w:rsidRPr="00FA4C1E" w:rsidTr="002C6AD9">
              <w:tc>
                <w:tcPr>
                  <w:tcW w:w="1374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 xml:space="preserve">Контрольная точка 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>2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112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81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5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2C6AD9" w:rsidRPr="00FA4C1E" w:rsidTr="002C6AD9">
              <w:tc>
                <w:tcPr>
                  <w:tcW w:w="1374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 xml:space="preserve">Контрольная точка 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>2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t>.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>n</w:t>
                  </w:r>
                </w:p>
              </w:tc>
              <w:tc>
                <w:tcPr>
                  <w:tcW w:w="112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816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5" w:type="pct"/>
                </w:tcPr>
                <w:p w:rsidR="002C6AD9" w:rsidRPr="00FA4C1E" w:rsidRDefault="002C6AD9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</w:tbl>
          <w:p w:rsidR="00D0270F" w:rsidRPr="00FD2FF3" w:rsidRDefault="00D0270F" w:rsidP="00D0270F">
            <w:pPr>
              <w:jc w:val="both"/>
              <w:outlineLvl w:val="0"/>
              <w:rPr>
                <w:rFonts w:cs="Times New Roman"/>
                <w:color w:val="000000"/>
                <w:szCs w:val="28"/>
              </w:rPr>
            </w:pPr>
          </w:p>
          <w:p w:rsidR="00322363" w:rsidRPr="0098458C" w:rsidRDefault="00322363" w:rsidP="0098458C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44" w:type="dxa"/>
          </w:tcPr>
          <w:p w:rsidR="00D0270F" w:rsidRPr="002B1EA6" w:rsidRDefault="00D0270F" w:rsidP="00D0270F">
            <w:pPr>
              <w:pStyle w:val="26"/>
              <w:keepNext/>
              <w:shd w:val="clear" w:color="auto" w:fill="auto"/>
              <w:spacing w:after="0"/>
              <w:ind w:left="1134" w:right="824" w:firstLine="567"/>
              <w:rPr>
                <w:b w:val="0"/>
              </w:rPr>
            </w:pPr>
          </w:p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46"/>
              <w:gridCol w:w="1684"/>
              <w:gridCol w:w="1217"/>
              <w:gridCol w:w="842"/>
              <w:gridCol w:w="936"/>
              <w:gridCol w:w="1193"/>
            </w:tblGrid>
            <w:tr w:rsidR="00D0270F" w:rsidRPr="00FA4C1E" w:rsidTr="00873178">
              <w:tc>
                <w:tcPr>
                  <w:tcW w:w="353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  <w:highlight w:val="yellow"/>
                    </w:rPr>
                    <w:t xml:space="preserve">№ </w:t>
                  </w:r>
                  <w:proofErr w:type="gramStart"/>
                  <w:r w:rsidRPr="00FA4C1E">
                    <w:rPr>
                      <w:b w:val="0"/>
                      <w:sz w:val="24"/>
                      <w:szCs w:val="24"/>
                      <w:highlight w:val="yellow"/>
                    </w:rPr>
                    <w:t>п</w:t>
                  </w:r>
                  <w:proofErr w:type="gramEnd"/>
                  <w:r w:rsidRPr="00FA4C1E">
                    <w:rPr>
                      <w:b w:val="0"/>
                      <w:sz w:val="24"/>
                      <w:szCs w:val="24"/>
                      <w:highlight w:val="yellow"/>
                    </w:rPr>
                    <w:t>/п</w:t>
                  </w:r>
                </w:p>
              </w:tc>
              <w:tc>
                <w:tcPr>
                  <w:tcW w:w="1333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 xml:space="preserve">Задача, мероприятие </w:t>
                  </w:r>
                </w:p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(результат)/ контрольная точка</w:t>
                  </w:r>
                </w:p>
              </w:tc>
              <w:tc>
                <w:tcPr>
                  <w:tcW w:w="963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Дата наступления контрольной точки</w:t>
                  </w:r>
                </w:p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  <w:highlight w:val="yellow"/>
                    </w:rPr>
                    <w:t xml:space="preserve">(в </w:t>
                  </w:r>
                  <w:r w:rsidRPr="00FA4C1E">
                    <w:rPr>
                      <w:b w:val="0"/>
                      <w:sz w:val="24"/>
                      <w:szCs w:val="24"/>
                      <w:highlight w:val="yellow"/>
                    </w:rPr>
                    <w:lastRenderedPageBreak/>
                    <w:t>формате ДД</w:t>
                  </w:r>
                  <w:proofErr w:type="gramStart"/>
                  <w:r w:rsidRPr="00FA4C1E">
                    <w:rPr>
                      <w:b w:val="0"/>
                      <w:sz w:val="24"/>
                      <w:szCs w:val="24"/>
                      <w:highlight w:val="yellow"/>
                    </w:rPr>
                    <w:t>.</w:t>
                  </w:r>
                  <w:bookmarkStart w:id="0" w:name="_GoBack"/>
                  <w:bookmarkEnd w:id="0"/>
                  <w:r w:rsidRPr="00FA4C1E">
                    <w:rPr>
                      <w:b w:val="0"/>
                      <w:sz w:val="24"/>
                      <w:szCs w:val="24"/>
                      <w:highlight w:val="yellow"/>
                    </w:rPr>
                    <w:t>М</w:t>
                  </w:r>
                  <w:proofErr w:type="gramEnd"/>
                  <w:r w:rsidRPr="00FA4C1E">
                    <w:rPr>
                      <w:b w:val="0"/>
                      <w:sz w:val="24"/>
                      <w:szCs w:val="24"/>
                      <w:highlight w:val="yellow"/>
                    </w:rPr>
                    <w:t>М)</w:t>
                  </w:r>
                </w:p>
              </w:tc>
              <w:tc>
                <w:tcPr>
                  <w:tcW w:w="666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lastRenderedPageBreak/>
                    <w:t>Ответ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ствен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ный ис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полни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тель</w:t>
                  </w:r>
                  <w:proofErr w:type="gramStart"/>
                  <w:r w:rsidRPr="00FA4C1E">
                    <w:rPr>
                      <w:b w:val="0"/>
                      <w:sz w:val="24"/>
                      <w:szCs w:val="24"/>
                      <w:vertAlign w:val="superscript"/>
                    </w:rPr>
                    <w:t>1</w:t>
                  </w:r>
                  <w:proofErr w:type="gramEnd"/>
                </w:p>
              </w:tc>
              <w:tc>
                <w:tcPr>
                  <w:tcW w:w="741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Вид под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твержда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ющего доку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мента</w:t>
                  </w:r>
                  <w:proofErr w:type="gramStart"/>
                  <w:r w:rsidRPr="00FA4C1E">
                    <w:rPr>
                      <w:b w:val="0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944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ind w:left="-113" w:right="-113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Информаци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softHyphen/>
                    <w:t>онная система</w:t>
                  </w:r>
                  <w:r w:rsidRPr="00FA4C1E">
                    <w:rPr>
                      <w:b w:val="0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</w:tr>
          </w:tbl>
          <w:p w:rsidR="00D0270F" w:rsidRPr="00FA4C1E" w:rsidRDefault="00D0270F" w:rsidP="00D0270F">
            <w:pPr>
              <w:keepNext/>
              <w:rPr>
                <w:rFonts w:cs="Times New Roman"/>
                <w:sz w:val="24"/>
                <w:szCs w:val="24"/>
              </w:rPr>
            </w:pPr>
          </w:p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47"/>
              <w:gridCol w:w="1684"/>
              <w:gridCol w:w="1246"/>
              <w:gridCol w:w="811"/>
              <w:gridCol w:w="946"/>
              <w:gridCol w:w="1184"/>
            </w:tblGrid>
            <w:tr w:rsidR="00D0270F" w:rsidRPr="00FA4C1E" w:rsidTr="00873178">
              <w:trPr>
                <w:tblHeader/>
              </w:trPr>
              <w:tc>
                <w:tcPr>
                  <w:tcW w:w="353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33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6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42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9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37" w:type="pct"/>
                </w:tcPr>
                <w:p w:rsidR="00D0270F" w:rsidRPr="00FA4C1E" w:rsidRDefault="00D0270F" w:rsidP="00873178">
                  <w:pPr>
                    <w:pStyle w:val="26"/>
                    <w:keepNext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6</w:t>
                  </w:r>
                </w:p>
              </w:tc>
            </w:tr>
            <w:tr w:rsidR="00D0270F" w:rsidRPr="00FA4C1E" w:rsidTr="00873178">
              <w:tc>
                <w:tcPr>
                  <w:tcW w:w="5000" w:type="pct"/>
                  <w:gridSpan w:val="6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Наименование задачи комплекса процессных мероприятий</w:t>
                  </w:r>
                </w:p>
              </w:tc>
            </w:tr>
            <w:tr w:rsidR="00D0270F" w:rsidRPr="00FA4C1E" w:rsidTr="00873178">
              <w:tc>
                <w:tcPr>
                  <w:tcW w:w="35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3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Мероприятие (результат) «Наименование» 1</w:t>
                  </w:r>
                </w:p>
              </w:tc>
              <w:tc>
                <w:tcPr>
                  <w:tcW w:w="986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642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7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D0270F" w:rsidRPr="00FA4C1E" w:rsidTr="00873178">
              <w:tc>
                <w:tcPr>
                  <w:tcW w:w="35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left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3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Контрольная точка 1.1</w:t>
                  </w:r>
                </w:p>
              </w:tc>
              <w:tc>
                <w:tcPr>
                  <w:tcW w:w="986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642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7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D0270F" w:rsidRPr="00FA4C1E" w:rsidTr="00873178">
              <w:tc>
                <w:tcPr>
                  <w:tcW w:w="35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left"/>
                    <w:rPr>
                      <w:b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33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Контрольная точка 1.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>n</w:t>
                  </w:r>
                </w:p>
              </w:tc>
              <w:tc>
                <w:tcPr>
                  <w:tcW w:w="986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642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7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D0270F" w:rsidRPr="00FA4C1E" w:rsidTr="00873178">
              <w:tc>
                <w:tcPr>
                  <w:tcW w:w="35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33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Мероприятие (результат) «Наименование»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 xml:space="preserve"> N</w:t>
                  </w:r>
                </w:p>
              </w:tc>
              <w:tc>
                <w:tcPr>
                  <w:tcW w:w="986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642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7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D0270F" w:rsidRPr="00FA4C1E" w:rsidTr="00873178">
              <w:tc>
                <w:tcPr>
                  <w:tcW w:w="35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left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3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 xml:space="preserve">Контрольная точка 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>2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986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642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7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D0270F" w:rsidRPr="00FA4C1E" w:rsidTr="00873178">
              <w:tc>
                <w:tcPr>
                  <w:tcW w:w="35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left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33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FA4C1E">
                    <w:rPr>
                      <w:b w:val="0"/>
                      <w:sz w:val="24"/>
                      <w:szCs w:val="24"/>
                    </w:rPr>
                    <w:t xml:space="preserve">Контрольная точка 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>2</w:t>
                  </w:r>
                  <w:r w:rsidRPr="00FA4C1E">
                    <w:rPr>
                      <w:b w:val="0"/>
                      <w:sz w:val="24"/>
                      <w:szCs w:val="24"/>
                    </w:rPr>
                    <w:t>.</w:t>
                  </w:r>
                  <w:r w:rsidRPr="00FA4C1E">
                    <w:rPr>
                      <w:b w:val="0"/>
                      <w:sz w:val="24"/>
                      <w:szCs w:val="24"/>
                      <w:lang w:val="en-US"/>
                    </w:rPr>
                    <w:t>n</w:t>
                  </w:r>
                </w:p>
              </w:tc>
              <w:tc>
                <w:tcPr>
                  <w:tcW w:w="986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642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749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937" w:type="pct"/>
                </w:tcPr>
                <w:p w:rsidR="00D0270F" w:rsidRPr="00FA4C1E" w:rsidRDefault="00D0270F" w:rsidP="00873178">
                  <w:pPr>
                    <w:pStyle w:val="26"/>
                    <w:shd w:val="clear" w:color="auto" w:fill="auto"/>
                    <w:spacing w:after="0"/>
                    <w:ind w:right="824"/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</w:tbl>
          <w:p w:rsidR="00322363" w:rsidRPr="0098458C" w:rsidRDefault="00322363" w:rsidP="00DA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421A" w:rsidRDefault="0081421A" w:rsidP="007E3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421A" w:rsidSect="006458BC">
      <w:footerReference w:type="default" r:id="rId18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433" w:rsidRDefault="005A5433" w:rsidP="00960503">
      <w:pPr>
        <w:spacing w:after="0" w:line="240" w:lineRule="auto"/>
      </w:pPr>
      <w:r>
        <w:separator/>
      </w:r>
    </w:p>
  </w:endnote>
  <w:endnote w:type="continuationSeparator" w:id="0">
    <w:p w:rsidR="005A5433" w:rsidRDefault="005A5433" w:rsidP="0096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14722"/>
      <w:docPartObj>
        <w:docPartGallery w:val="Page Numbers (Bottom of Page)"/>
        <w:docPartUnique/>
      </w:docPartObj>
    </w:sdtPr>
    <w:sdtEndPr/>
    <w:sdtContent>
      <w:p w:rsidR="00D84F48" w:rsidRDefault="00D84F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C1E">
          <w:rPr>
            <w:noProof/>
          </w:rPr>
          <w:t>12</w:t>
        </w:r>
        <w:r>
          <w:fldChar w:fldCharType="end"/>
        </w:r>
      </w:p>
    </w:sdtContent>
  </w:sdt>
  <w:p w:rsidR="00D84F48" w:rsidRDefault="00D84F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433" w:rsidRDefault="005A5433" w:rsidP="00960503">
      <w:pPr>
        <w:spacing w:after="0" w:line="240" w:lineRule="auto"/>
      </w:pPr>
      <w:r>
        <w:separator/>
      </w:r>
    </w:p>
  </w:footnote>
  <w:footnote w:type="continuationSeparator" w:id="0">
    <w:p w:rsidR="005A5433" w:rsidRDefault="005A5433" w:rsidP="00960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E3F"/>
    <w:multiLevelType w:val="hybridMultilevel"/>
    <w:tmpl w:val="51C8CCF4"/>
    <w:lvl w:ilvl="0" w:tplc="4B0098C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0770CD"/>
    <w:multiLevelType w:val="hybridMultilevel"/>
    <w:tmpl w:val="E6A01D12"/>
    <w:lvl w:ilvl="0" w:tplc="F3103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503AC3"/>
    <w:multiLevelType w:val="multilevel"/>
    <w:tmpl w:val="F04EA93A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8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95C16B1"/>
    <w:multiLevelType w:val="multilevel"/>
    <w:tmpl w:val="6F56D1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20" w:hanging="2160"/>
      </w:pPr>
      <w:rPr>
        <w:rFonts w:hint="default"/>
      </w:rPr>
    </w:lvl>
  </w:abstractNum>
  <w:abstractNum w:abstractNumId="4">
    <w:nsid w:val="29E32247"/>
    <w:multiLevelType w:val="hybridMultilevel"/>
    <w:tmpl w:val="62B89E84"/>
    <w:lvl w:ilvl="0" w:tplc="414C5DD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414C5DD8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254D9"/>
    <w:multiLevelType w:val="multilevel"/>
    <w:tmpl w:val="B3EC0C2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2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7">
    <w:nsid w:val="2CF208F0"/>
    <w:multiLevelType w:val="singleLevel"/>
    <w:tmpl w:val="A27280E6"/>
    <w:lvl w:ilvl="0">
      <w:start w:val="1"/>
      <w:numFmt w:val="bullet"/>
      <w:pStyle w:val="a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8">
    <w:nsid w:val="3C846452"/>
    <w:multiLevelType w:val="multilevel"/>
    <w:tmpl w:val="E4AEA6B0"/>
    <w:lvl w:ilvl="0">
      <w:numFmt w:val="bullet"/>
      <w:lvlText w:val="-"/>
      <w:lvlJc w:val="left"/>
      <w:pPr>
        <w:ind w:left="1301" w:hanging="45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869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60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51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685" w:hanging="2160"/>
      </w:pPr>
      <w:rPr>
        <w:rFonts w:hint="default"/>
      </w:rPr>
    </w:lvl>
  </w:abstractNum>
  <w:abstractNum w:abstractNumId="9">
    <w:nsid w:val="3F71202D"/>
    <w:multiLevelType w:val="hybridMultilevel"/>
    <w:tmpl w:val="A9C0B050"/>
    <w:lvl w:ilvl="0" w:tplc="9254379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5710A"/>
    <w:multiLevelType w:val="singleLevel"/>
    <w:tmpl w:val="6E1CA80C"/>
    <w:lvl w:ilvl="0">
      <w:start w:val="1"/>
      <w:numFmt w:val="bullet"/>
      <w:pStyle w:val="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E750A04"/>
    <w:multiLevelType w:val="hybridMultilevel"/>
    <w:tmpl w:val="9190B774"/>
    <w:lvl w:ilvl="0" w:tplc="5072953C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DA1DC5"/>
    <w:multiLevelType w:val="hybridMultilevel"/>
    <w:tmpl w:val="E31EAEF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D20827"/>
    <w:multiLevelType w:val="hybridMultilevel"/>
    <w:tmpl w:val="CC5A19E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E01554"/>
    <w:multiLevelType w:val="multilevel"/>
    <w:tmpl w:val="65560A7C"/>
    <w:lvl w:ilvl="0">
      <w:start w:val="1"/>
      <w:numFmt w:val="none"/>
      <w:pStyle w:val="2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851"/>
        </w:tabs>
        <w:ind w:left="851" w:hanging="494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4"/>
  </w:num>
  <w:num w:numId="5">
    <w:abstractNumId w:val="10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896"/>
    <w:rsid w:val="00005F77"/>
    <w:rsid w:val="00012700"/>
    <w:rsid w:val="00037CAD"/>
    <w:rsid w:val="00050E4D"/>
    <w:rsid w:val="000520E3"/>
    <w:rsid w:val="00056F49"/>
    <w:rsid w:val="00074731"/>
    <w:rsid w:val="00085D52"/>
    <w:rsid w:val="000951BC"/>
    <w:rsid w:val="000A0BCA"/>
    <w:rsid w:val="000A4812"/>
    <w:rsid w:val="000A5ACE"/>
    <w:rsid w:val="000B1E36"/>
    <w:rsid w:val="000B7092"/>
    <w:rsid w:val="000C46F7"/>
    <w:rsid w:val="000D17EA"/>
    <w:rsid w:val="000E3C5C"/>
    <w:rsid w:val="000E59E2"/>
    <w:rsid w:val="000F10B2"/>
    <w:rsid w:val="001138AE"/>
    <w:rsid w:val="00114A97"/>
    <w:rsid w:val="00143124"/>
    <w:rsid w:val="001433A4"/>
    <w:rsid w:val="00147CE4"/>
    <w:rsid w:val="001525B6"/>
    <w:rsid w:val="00156896"/>
    <w:rsid w:val="00160A98"/>
    <w:rsid w:val="00163723"/>
    <w:rsid w:val="001662C2"/>
    <w:rsid w:val="001724C2"/>
    <w:rsid w:val="001802ED"/>
    <w:rsid w:val="00191B4A"/>
    <w:rsid w:val="001A0DE7"/>
    <w:rsid w:val="001A4C58"/>
    <w:rsid w:val="001A588F"/>
    <w:rsid w:val="001C1A86"/>
    <w:rsid w:val="001C43B3"/>
    <w:rsid w:val="001D1328"/>
    <w:rsid w:val="001E38B4"/>
    <w:rsid w:val="00214AA7"/>
    <w:rsid w:val="0021712F"/>
    <w:rsid w:val="002402C3"/>
    <w:rsid w:val="00252339"/>
    <w:rsid w:val="002672A1"/>
    <w:rsid w:val="002848ED"/>
    <w:rsid w:val="002902D9"/>
    <w:rsid w:val="002A4ED3"/>
    <w:rsid w:val="002B1E50"/>
    <w:rsid w:val="002B7BC3"/>
    <w:rsid w:val="002C6AD9"/>
    <w:rsid w:val="002D660B"/>
    <w:rsid w:val="002F1060"/>
    <w:rsid w:val="002F6B0D"/>
    <w:rsid w:val="00304F2A"/>
    <w:rsid w:val="00312C07"/>
    <w:rsid w:val="00317CAE"/>
    <w:rsid w:val="00322363"/>
    <w:rsid w:val="00335441"/>
    <w:rsid w:val="00344104"/>
    <w:rsid w:val="00355173"/>
    <w:rsid w:val="00361D4F"/>
    <w:rsid w:val="003644D1"/>
    <w:rsid w:val="00372DD9"/>
    <w:rsid w:val="00390F17"/>
    <w:rsid w:val="003D1C90"/>
    <w:rsid w:val="003D4590"/>
    <w:rsid w:val="003E2A84"/>
    <w:rsid w:val="003F13BC"/>
    <w:rsid w:val="00403231"/>
    <w:rsid w:val="00403F3F"/>
    <w:rsid w:val="00434518"/>
    <w:rsid w:val="00451688"/>
    <w:rsid w:val="0046278C"/>
    <w:rsid w:val="00477120"/>
    <w:rsid w:val="00484E66"/>
    <w:rsid w:val="0049183B"/>
    <w:rsid w:val="00496BC6"/>
    <w:rsid w:val="004A641F"/>
    <w:rsid w:val="004B0787"/>
    <w:rsid w:val="004B2616"/>
    <w:rsid w:val="004B36AE"/>
    <w:rsid w:val="004D0F7C"/>
    <w:rsid w:val="004E63AF"/>
    <w:rsid w:val="004E64E9"/>
    <w:rsid w:val="004F23D8"/>
    <w:rsid w:val="00506EDA"/>
    <w:rsid w:val="005078EA"/>
    <w:rsid w:val="0052015C"/>
    <w:rsid w:val="00540A39"/>
    <w:rsid w:val="005430E6"/>
    <w:rsid w:val="00551FA7"/>
    <w:rsid w:val="00573059"/>
    <w:rsid w:val="00586C67"/>
    <w:rsid w:val="00595573"/>
    <w:rsid w:val="005A0316"/>
    <w:rsid w:val="005A3B68"/>
    <w:rsid w:val="005A5433"/>
    <w:rsid w:val="005C19D9"/>
    <w:rsid w:val="005C37E7"/>
    <w:rsid w:val="005F1425"/>
    <w:rsid w:val="00633487"/>
    <w:rsid w:val="006412AE"/>
    <w:rsid w:val="006458BC"/>
    <w:rsid w:val="00654194"/>
    <w:rsid w:val="00670EB9"/>
    <w:rsid w:val="006728A9"/>
    <w:rsid w:val="00673F09"/>
    <w:rsid w:val="006930CF"/>
    <w:rsid w:val="00697208"/>
    <w:rsid w:val="00697807"/>
    <w:rsid w:val="00697EA5"/>
    <w:rsid w:val="006A68D4"/>
    <w:rsid w:val="006C54B8"/>
    <w:rsid w:val="006D4AE5"/>
    <w:rsid w:val="006E1C31"/>
    <w:rsid w:val="006F5160"/>
    <w:rsid w:val="007071CF"/>
    <w:rsid w:val="00707818"/>
    <w:rsid w:val="007079B7"/>
    <w:rsid w:val="00723A22"/>
    <w:rsid w:val="00727B52"/>
    <w:rsid w:val="00751E5D"/>
    <w:rsid w:val="007623DD"/>
    <w:rsid w:val="00780210"/>
    <w:rsid w:val="00790D01"/>
    <w:rsid w:val="0079705E"/>
    <w:rsid w:val="007B5FF0"/>
    <w:rsid w:val="007C3889"/>
    <w:rsid w:val="007C7ED6"/>
    <w:rsid w:val="007E0282"/>
    <w:rsid w:val="007E326B"/>
    <w:rsid w:val="007E5C8A"/>
    <w:rsid w:val="007F5D34"/>
    <w:rsid w:val="0081421A"/>
    <w:rsid w:val="00814A52"/>
    <w:rsid w:val="008163C6"/>
    <w:rsid w:val="00823CAA"/>
    <w:rsid w:val="0082542F"/>
    <w:rsid w:val="00864274"/>
    <w:rsid w:val="0086497D"/>
    <w:rsid w:val="008747F3"/>
    <w:rsid w:val="00874FCF"/>
    <w:rsid w:val="008941AA"/>
    <w:rsid w:val="008A2072"/>
    <w:rsid w:val="008A25AD"/>
    <w:rsid w:val="008C28CB"/>
    <w:rsid w:val="008C695D"/>
    <w:rsid w:val="008D1F29"/>
    <w:rsid w:val="008D2919"/>
    <w:rsid w:val="008E5DD3"/>
    <w:rsid w:val="00913C65"/>
    <w:rsid w:val="00924904"/>
    <w:rsid w:val="00936580"/>
    <w:rsid w:val="00937422"/>
    <w:rsid w:val="009410B2"/>
    <w:rsid w:val="00943E2F"/>
    <w:rsid w:val="009472D8"/>
    <w:rsid w:val="0095625D"/>
    <w:rsid w:val="00960503"/>
    <w:rsid w:val="00962948"/>
    <w:rsid w:val="00963CC5"/>
    <w:rsid w:val="009732EE"/>
    <w:rsid w:val="00980F2A"/>
    <w:rsid w:val="0098458C"/>
    <w:rsid w:val="00997059"/>
    <w:rsid w:val="009A1809"/>
    <w:rsid w:val="009B1350"/>
    <w:rsid w:val="009B7A7F"/>
    <w:rsid w:val="009D149E"/>
    <w:rsid w:val="009E614C"/>
    <w:rsid w:val="00A00175"/>
    <w:rsid w:val="00A04B7F"/>
    <w:rsid w:val="00A13395"/>
    <w:rsid w:val="00A25993"/>
    <w:rsid w:val="00A26660"/>
    <w:rsid w:val="00A35D74"/>
    <w:rsid w:val="00A416B2"/>
    <w:rsid w:val="00A44B99"/>
    <w:rsid w:val="00A5086A"/>
    <w:rsid w:val="00A52D30"/>
    <w:rsid w:val="00A701B7"/>
    <w:rsid w:val="00A87D55"/>
    <w:rsid w:val="00A90345"/>
    <w:rsid w:val="00A92FFB"/>
    <w:rsid w:val="00AA4BAE"/>
    <w:rsid w:val="00AA5142"/>
    <w:rsid w:val="00AB2979"/>
    <w:rsid w:val="00AB6DE0"/>
    <w:rsid w:val="00AC0267"/>
    <w:rsid w:val="00AC1B88"/>
    <w:rsid w:val="00AC2257"/>
    <w:rsid w:val="00AD17AC"/>
    <w:rsid w:val="00AE5AED"/>
    <w:rsid w:val="00B06EA5"/>
    <w:rsid w:val="00B27052"/>
    <w:rsid w:val="00B32728"/>
    <w:rsid w:val="00B34094"/>
    <w:rsid w:val="00B409C8"/>
    <w:rsid w:val="00B606FA"/>
    <w:rsid w:val="00B622BA"/>
    <w:rsid w:val="00B62BAB"/>
    <w:rsid w:val="00B84DD9"/>
    <w:rsid w:val="00B902DF"/>
    <w:rsid w:val="00B9405B"/>
    <w:rsid w:val="00BA1CB1"/>
    <w:rsid w:val="00BA3391"/>
    <w:rsid w:val="00BA4A63"/>
    <w:rsid w:val="00BC04B8"/>
    <w:rsid w:val="00BF37A8"/>
    <w:rsid w:val="00BF4C75"/>
    <w:rsid w:val="00C02017"/>
    <w:rsid w:val="00C24CAA"/>
    <w:rsid w:val="00C3049F"/>
    <w:rsid w:val="00C31D87"/>
    <w:rsid w:val="00C4308D"/>
    <w:rsid w:val="00C52A58"/>
    <w:rsid w:val="00C57724"/>
    <w:rsid w:val="00C578DB"/>
    <w:rsid w:val="00C57DBF"/>
    <w:rsid w:val="00C63887"/>
    <w:rsid w:val="00C92FE2"/>
    <w:rsid w:val="00CA28AC"/>
    <w:rsid w:val="00CB7FE7"/>
    <w:rsid w:val="00CC6132"/>
    <w:rsid w:val="00CD1775"/>
    <w:rsid w:val="00CD36BA"/>
    <w:rsid w:val="00CE6847"/>
    <w:rsid w:val="00CF025C"/>
    <w:rsid w:val="00CF0CC1"/>
    <w:rsid w:val="00D01385"/>
    <w:rsid w:val="00D0270F"/>
    <w:rsid w:val="00D12060"/>
    <w:rsid w:val="00D31D4D"/>
    <w:rsid w:val="00D31F69"/>
    <w:rsid w:val="00D32562"/>
    <w:rsid w:val="00D34103"/>
    <w:rsid w:val="00D435D6"/>
    <w:rsid w:val="00D61C10"/>
    <w:rsid w:val="00D631B9"/>
    <w:rsid w:val="00D65FE9"/>
    <w:rsid w:val="00D66B63"/>
    <w:rsid w:val="00D75871"/>
    <w:rsid w:val="00D77061"/>
    <w:rsid w:val="00D77C89"/>
    <w:rsid w:val="00D84F48"/>
    <w:rsid w:val="00DA48F9"/>
    <w:rsid w:val="00DA5198"/>
    <w:rsid w:val="00DB57FA"/>
    <w:rsid w:val="00DB6585"/>
    <w:rsid w:val="00DD2931"/>
    <w:rsid w:val="00DD7960"/>
    <w:rsid w:val="00E0599B"/>
    <w:rsid w:val="00E118DC"/>
    <w:rsid w:val="00E1714A"/>
    <w:rsid w:val="00E20D08"/>
    <w:rsid w:val="00E3312B"/>
    <w:rsid w:val="00E41F9B"/>
    <w:rsid w:val="00E4262F"/>
    <w:rsid w:val="00E57F9C"/>
    <w:rsid w:val="00E716BB"/>
    <w:rsid w:val="00E71C01"/>
    <w:rsid w:val="00E84FBD"/>
    <w:rsid w:val="00E96BBA"/>
    <w:rsid w:val="00EB20A9"/>
    <w:rsid w:val="00EB6F02"/>
    <w:rsid w:val="00ED3BD8"/>
    <w:rsid w:val="00ED6D91"/>
    <w:rsid w:val="00EE4B3E"/>
    <w:rsid w:val="00F02A29"/>
    <w:rsid w:val="00F03C45"/>
    <w:rsid w:val="00F271EB"/>
    <w:rsid w:val="00F32F47"/>
    <w:rsid w:val="00F369A5"/>
    <w:rsid w:val="00F4243B"/>
    <w:rsid w:val="00F42FE8"/>
    <w:rsid w:val="00F44533"/>
    <w:rsid w:val="00F56E76"/>
    <w:rsid w:val="00F613EB"/>
    <w:rsid w:val="00F74505"/>
    <w:rsid w:val="00F91B4A"/>
    <w:rsid w:val="00FA4C1E"/>
    <w:rsid w:val="00FA4DD1"/>
    <w:rsid w:val="00FC0099"/>
    <w:rsid w:val="00FD38F4"/>
    <w:rsid w:val="00FE49D0"/>
    <w:rsid w:val="00FF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0951BC"/>
    <w:pPr>
      <w:keepNext/>
      <w:numPr>
        <w:ilvl w:val="1"/>
        <w:numId w:val="2"/>
      </w:numPr>
      <w:spacing w:before="3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0951BC"/>
    <w:pPr>
      <w:keepNext/>
      <w:tabs>
        <w:tab w:val="num" w:pos="851"/>
      </w:tabs>
      <w:suppressAutoHyphens/>
      <w:spacing w:before="240" w:after="120" w:line="240" w:lineRule="auto"/>
      <w:ind w:left="851" w:hanging="851"/>
      <w:outlineLvl w:val="1"/>
    </w:pPr>
    <w:rPr>
      <w:rFonts w:ascii="Arial" w:eastAsia="Arial Unicode MS" w:hAnsi="Arial" w:cs="Times New Roman"/>
      <w:b/>
      <w:sz w:val="26"/>
      <w:szCs w:val="24"/>
      <w:lang w:eastAsia="ru-RU"/>
    </w:rPr>
  </w:style>
  <w:style w:type="paragraph" w:styleId="30">
    <w:name w:val="heading 3"/>
    <w:basedOn w:val="a0"/>
    <w:next w:val="a0"/>
    <w:link w:val="31"/>
    <w:qFormat/>
    <w:rsid w:val="000951BC"/>
    <w:pPr>
      <w:keepNext/>
      <w:tabs>
        <w:tab w:val="num" w:pos="851"/>
      </w:tabs>
      <w:suppressAutoHyphens/>
      <w:spacing w:before="480" w:after="120" w:line="240" w:lineRule="auto"/>
      <w:ind w:left="851" w:hanging="851"/>
      <w:outlineLvl w:val="2"/>
    </w:pPr>
    <w:rPr>
      <w:rFonts w:ascii="Arial" w:eastAsia="Times New Roman" w:hAnsi="Arial" w:cs="Times New Roman"/>
      <w:b/>
      <w:sz w:val="24"/>
      <w:lang w:eastAsia="ru-RU"/>
    </w:rPr>
  </w:style>
  <w:style w:type="paragraph" w:styleId="4">
    <w:name w:val="heading 4"/>
    <w:basedOn w:val="a0"/>
    <w:next w:val="a0"/>
    <w:link w:val="40"/>
    <w:qFormat/>
    <w:rsid w:val="000951BC"/>
    <w:pPr>
      <w:keepNext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2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96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60503"/>
  </w:style>
  <w:style w:type="paragraph" w:styleId="a7">
    <w:name w:val="footer"/>
    <w:basedOn w:val="a0"/>
    <w:link w:val="a8"/>
    <w:unhideWhenUsed/>
    <w:rsid w:val="0096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960503"/>
  </w:style>
  <w:style w:type="paragraph" w:styleId="a9">
    <w:name w:val="Normal (Web)"/>
    <w:basedOn w:val="a0"/>
    <w:uiPriority w:val="99"/>
    <w:rsid w:val="004B3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1 Знак"/>
    <w:basedOn w:val="a1"/>
    <w:link w:val="10"/>
    <w:uiPriority w:val="99"/>
    <w:rsid w:val="000951BC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0951BC"/>
    <w:rPr>
      <w:rFonts w:ascii="Arial" w:eastAsia="Arial Unicode MS" w:hAnsi="Arial" w:cs="Times New Roman"/>
      <w:b/>
      <w:sz w:val="26"/>
      <w:szCs w:val="24"/>
      <w:lang w:eastAsia="ru-RU"/>
    </w:rPr>
  </w:style>
  <w:style w:type="character" w:customStyle="1" w:styleId="31">
    <w:name w:val="Заголовок 3 Знак"/>
    <w:basedOn w:val="a1"/>
    <w:link w:val="30"/>
    <w:rsid w:val="000951BC"/>
    <w:rPr>
      <w:rFonts w:ascii="Arial" w:eastAsia="Times New Roman" w:hAnsi="Arial" w:cs="Times New Roman"/>
      <w:b/>
      <w:sz w:val="24"/>
      <w:lang w:eastAsia="ru-RU"/>
    </w:rPr>
  </w:style>
  <w:style w:type="character" w:customStyle="1" w:styleId="40">
    <w:name w:val="Заголовок 4 Знак"/>
    <w:basedOn w:val="a1"/>
    <w:link w:val="4"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a">
    <w:name w:val="List Paragraph"/>
    <w:basedOn w:val="a0"/>
    <w:uiPriority w:val="34"/>
    <w:qFormat/>
    <w:rsid w:val="000951BC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paragraph" w:styleId="ab">
    <w:name w:val="Balloon Text"/>
    <w:basedOn w:val="a0"/>
    <w:link w:val="ac"/>
    <w:unhideWhenUsed/>
    <w:rsid w:val="000951BC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951BC"/>
    <w:rPr>
      <w:rFonts w:ascii="Tahoma" w:eastAsia="Times New Roman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0951BC"/>
  </w:style>
  <w:style w:type="character" w:customStyle="1" w:styleId="apple-converted-space">
    <w:name w:val="apple-converted-space"/>
    <w:basedOn w:val="a1"/>
    <w:rsid w:val="000951BC"/>
  </w:style>
  <w:style w:type="character" w:styleId="ad">
    <w:name w:val="Emphasis"/>
    <w:qFormat/>
    <w:rsid w:val="000951BC"/>
    <w:rPr>
      <w:i/>
      <w:iCs/>
    </w:rPr>
  </w:style>
  <w:style w:type="paragraph" w:styleId="ae">
    <w:name w:val="table of figures"/>
    <w:basedOn w:val="a0"/>
    <w:next w:val="a0"/>
    <w:semiHidden/>
    <w:rsid w:val="0009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951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f">
    <w:name w:val="Body Text"/>
    <w:basedOn w:val="a0"/>
    <w:link w:val="af0"/>
    <w:semiHidden/>
    <w:rsid w:val="000951BC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1"/>
    <w:link w:val="af"/>
    <w:semiHidden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2">
    <w:name w:val="Body Text 2"/>
    <w:basedOn w:val="a0"/>
    <w:link w:val="23"/>
    <w:rsid w:val="000951BC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1"/>
    <w:link w:val="22"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f1">
    <w:name w:val="page number"/>
    <w:basedOn w:val="a1"/>
    <w:rsid w:val="000951BC"/>
  </w:style>
  <w:style w:type="paragraph" w:customStyle="1" w:styleId="14">
    <w:name w:val="Абзац списка1"/>
    <w:basedOn w:val="a0"/>
    <w:rsid w:val="000951BC"/>
    <w:pPr>
      <w:widowControl w:val="0"/>
      <w:autoSpaceDE w:val="0"/>
      <w:autoSpaceDN w:val="0"/>
      <w:adjustRightInd w:val="0"/>
      <w:spacing w:after="0" w:line="360" w:lineRule="auto"/>
      <w:ind w:left="720" w:firstLine="720"/>
      <w:jc w:val="both"/>
    </w:pPr>
    <w:rPr>
      <w:rFonts w:ascii="Times New Roman" w:eastAsia="Times New Roman" w:hAnsi="Times New Roman" w:cs="Tahoma"/>
      <w:color w:val="323232"/>
      <w:sz w:val="24"/>
      <w:szCs w:val="24"/>
      <w:lang w:eastAsia="ru-RU"/>
    </w:rPr>
  </w:style>
  <w:style w:type="character" w:styleId="af2">
    <w:name w:val="annotation reference"/>
    <w:rsid w:val="000951BC"/>
    <w:rPr>
      <w:sz w:val="16"/>
      <w:szCs w:val="16"/>
    </w:rPr>
  </w:style>
  <w:style w:type="paragraph" w:styleId="af3">
    <w:name w:val="annotation text"/>
    <w:basedOn w:val="a0"/>
    <w:link w:val="af4"/>
    <w:uiPriority w:val="99"/>
    <w:rsid w:val="00095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uiPriority w:val="99"/>
    <w:rsid w:val="00095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0951BC"/>
    <w:rPr>
      <w:b/>
      <w:bCs/>
    </w:rPr>
  </w:style>
  <w:style w:type="character" w:customStyle="1" w:styleId="af6">
    <w:name w:val="Тема примечания Знак"/>
    <w:basedOn w:val="af4"/>
    <w:link w:val="af5"/>
    <w:rsid w:val="000951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09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0"/>
    <w:next w:val="a0"/>
    <w:uiPriority w:val="39"/>
    <w:semiHidden/>
    <w:unhideWhenUsed/>
    <w:qFormat/>
    <w:rsid w:val="000951BC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15">
    <w:name w:val="toc 1"/>
    <w:basedOn w:val="a0"/>
    <w:next w:val="a0"/>
    <w:autoRedefine/>
    <w:uiPriority w:val="39"/>
    <w:rsid w:val="000951BC"/>
    <w:pPr>
      <w:tabs>
        <w:tab w:val="left" w:pos="440"/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1"/>
    <w:uiPriority w:val="99"/>
    <w:unhideWhenUsed/>
    <w:rsid w:val="000951BC"/>
    <w:rPr>
      <w:color w:val="0000FF"/>
      <w:u w:val="single"/>
    </w:rPr>
  </w:style>
  <w:style w:type="table" w:customStyle="1" w:styleId="16">
    <w:name w:val="Сетка таблицы1"/>
    <w:basedOn w:val="a2"/>
    <w:next w:val="a4"/>
    <w:uiPriority w:val="59"/>
    <w:rsid w:val="00095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otnote reference"/>
    <w:basedOn w:val="a1"/>
    <w:rsid w:val="000951BC"/>
    <w:rPr>
      <w:vertAlign w:val="superscript"/>
    </w:rPr>
  </w:style>
  <w:style w:type="paragraph" w:styleId="afb">
    <w:name w:val="caption"/>
    <w:basedOn w:val="a0"/>
    <w:next w:val="a0"/>
    <w:qFormat/>
    <w:rsid w:val="000951BC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Times New Roman" w:hAnsi="Arial Narrow" w:cs="Times New Roman"/>
      <w:sz w:val="28"/>
      <w:szCs w:val="24"/>
      <w:lang w:eastAsia="ru-RU"/>
    </w:rPr>
  </w:style>
  <w:style w:type="paragraph" w:styleId="a">
    <w:name w:val="List"/>
    <w:aliases w:val="Номер,Список - Маркер"/>
    <w:basedOn w:val="a0"/>
    <w:link w:val="afc"/>
    <w:rsid w:val="000951BC"/>
    <w:pPr>
      <w:numPr>
        <w:numId w:val="3"/>
      </w:numPr>
      <w:tabs>
        <w:tab w:val="clear" w:pos="928"/>
        <w:tab w:val="num" w:pos="1080"/>
      </w:tabs>
      <w:spacing w:before="40" w:after="4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footnote text"/>
    <w:basedOn w:val="a0"/>
    <w:link w:val="afe"/>
    <w:rsid w:val="000951BC"/>
    <w:pPr>
      <w:spacing w:before="60" w:after="60" w:line="240" w:lineRule="auto"/>
      <w:ind w:hanging="142"/>
      <w:jc w:val="both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afe">
    <w:name w:val="Текст сноски Знак"/>
    <w:basedOn w:val="a1"/>
    <w:link w:val="afd"/>
    <w:rsid w:val="000951BC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customStyle="1" w:styleId="11">
    <w:name w:val="Номер1"/>
    <w:basedOn w:val="a"/>
    <w:rsid w:val="000951BC"/>
    <w:pPr>
      <w:numPr>
        <w:ilvl w:val="1"/>
        <w:numId w:val="4"/>
      </w:numPr>
      <w:tabs>
        <w:tab w:val="clear" w:pos="720"/>
        <w:tab w:val="num" w:pos="928"/>
      </w:tabs>
      <w:ind w:left="720" w:hanging="720"/>
    </w:pPr>
  </w:style>
  <w:style w:type="paragraph" w:customStyle="1" w:styleId="2">
    <w:name w:val="Номер2"/>
    <w:basedOn w:val="a0"/>
    <w:rsid w:val="000951BC"/>
    <w:pPr>
      <w:numPr>
        <w:ilvl w:val="2"/>
        <w:numId w:val="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c">
    <w:name w:val="Список Знак"/>
    <w:aliases w:val="Номер Знак,Список - Маркер Знак"/>
    <w:link w:val="a"/>
    <w:locked/>
    <w:rsid w:val="000951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центру"/>
    <w:basedOn w:val="10"/>
    <w:rsid w:val="000951BC"/>
    <w:pPr>
      <w:numPr>
        <w:ilvl w:val="0"/>
      </w:numPr>
      <w:suppressAutoHyphens/>
      <w:spacing w:before="120" w:after="240"/>
    </w:pPr>
    <w:rPr>
      <w:b w:val="0"/>
      <w:bCs w:val="0"/>
      <w:kern w:val="28"/>
      <w:szCs w:val="20"/>
    </w:rPr>
  </w:style>
  <w:style w:type="paragraph" w:customStyle="1" w:styleId="3">
    <w:name w:val="Список3"/>
    <w:basedOn w:val="a0"/>
    <w:rsid w:val="000951BC"/>
    <w:pPr>
      <w:numPr>
        <w:numId w:val="5"/>
      </w:numPr>
      <w:tabs>
        <w:tab w:val="left" w:pos="1208"/>
      </w:tabs>
      <w:spacing w:before="20" w:after="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4">
    <w:name w:val="Абзац списка2"/>
    <w:basedOn w:val="a0"/>
    <w:rsid w:val="000951BC"/>
    <w:pPr>
      <w:spacing w:after="200" w:line="276" w:lineRule="auto"/>
      <w:ind w:left="720" w:firstLine="720"/>
      <w:contextualSpacing/>
    </w:pPr>
    <w:rPr>
      <w:rFonts w:ascii="Calibri" w:eastAsia="Times New Roman" w:hAnsi="Calibri" w:cs="Times New Roman"/>
      <w:sz w:val="28"/>
    </w:rPr>
  </w:style>
  <w:style w:type="paragraph" w:customStyle="1" w:styleId="ConsPlusNonformat">
    <w:name w:val="ConsPlusNonformat"/>
    <w:uiPriority w:val="99"/>
    <w:rsid w:val="000951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0">
    <w:name w:val="Сетка таблицы11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42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5">
    <w:name w:val="Заголовок №2_"/>
    <w:basedOn w:val="a1"/>
    <w:link w:val="26"/>
    <w:rsid w:val="00085D5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0"/>
    <w:link w:val="25"/>
    <w:rsid w:val="00085D52"/>
    <w:pPr>
      <w:widowControl w:val="0"/>
      <w:shd w:val="clear" w:color="auto" w:fill="FFFFFF"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f">
    <w:name w:val="Основной текст_"/>
    <w:basedOn w:val="a1"/>
    <w:link w:val="17"/>
    <w:rsid w:val="00B270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0"/>
    <w:link w:val="aff"/>
    <w:rsid w:val="00B2705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0951BC"/>
    <w:pPr>
      <w:keepNext/>
      <w:numPr>
        <w:ilvl w:val="1"/>
        <w:numId w:val="2"/>
      </w:numPr>
      <w:spacing w:before="3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0951BC"/>
    <w:pPr>
      <w:keepNext/>
      <w:tabs>
        <w:tab w:val="num" w:pos="851"/>
      </w:tabs>
      <w:suppressAutoHyphens/>
      <w:spacing w:before="240" w:after="120" w:line="240" w:lineRule="auto"/>
      <w:ind w:left="851" w:hanging="851"/>
      <w:outlineLvl w:val="1"/>
    </w:pPr>
    <w:rPr>
      <w:rFonts w:ascii="Arial" w:eastAsia="Arial Unicode MS" w:hAnsi="Arial" w:cs="Times New Roman"/>
      <w:b/>
      <w:sz w:val="26"/>
      <w:szCs w:val="24"/>
      <w:lang w:eastAsia="ru-RU"/>
    </w:rPr>
  </w:style>
  <w:style w:type="paragraph" w:styleId="30">
    <w:name w:val="heading 3"/>
    <w:basedOn w:val="a0"/>
    <w:next w:val="a0"/>
    <w:link w:val="31"/>
    <w:qFormat/>
    <w:rsid w:val="000951BC"/>
    <w:pPr>
      <w:keepNext/>
      <w:tabs>
        <w:tab w:val="num" w:pos="851"/>
      </w:tabs>
      <w:suppressAutoHyphens/>
      <w:spacing w:before="480" w:after="120" w:line="240" w:lineRule="auto"/>
      <w:ind w:left="851" w:hanging="851"/>
      <w:outlineLvl w:val="2"/>
    </w:pPr>
    <w:rPr>
      <w:rFonts w:ascii="Arial" w:eastAsia="Times New Roman" w:hAnsi="Arial" w:cs="Times New Roman"/>
      <w:b/>
      <w:sz w:val="24"/>
      <w:lang w:eastAsia="ru-RU"/>
    </w:rPr>
  </w:style>
  <w:style w:type="paragraph" w:styleId="4">
    <w:name w:val="heading 4"/>
    <w:basedOn w:val="a0"/>
    <w:next w:val="a0"/>
    <w:link w:val="40"/>
    <w:qFormat/>
    <w:rsid w:val="000951BC"/>
    <w:pPr>
      <w:keepNext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2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96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60503"/>
  </w:style>
  <w:style w:type="paragraph" w:styleId="a7">
    <w:name w:val="footer"/>
    <w:basedOn w:val="a0"/>
    <w:link w:val="a8"/>
    <w:unhideWhenUsed/>
    <w:rsid w:val="0096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960503"/>
  </w:style>
  <w:style w:type="paragraph" w:styleId="a9">
    <w:name w:val="Normal (Web)"/>
    <w:basedOn w:val="a0"/>
    <w:uiPriority w:val="99"/>
    <w:rsid w:val="004B3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1 Знак"/>
    <w:basedOn w:val="a1"/>
    <w:link w:val="10"/>
    <w:uiPriority w:val="99"/>
    <w:rsid w:val="000951BC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0951BC"/>
    <w:rPr>
      <w:rFonts w:ascii="Arial" w:eastAsia="Arial Unicode MS" w:hAnsi="Arial" w:cs="Times New Roman"/>
      <w:b/>
      <w:sz w:val="26"/>
      <w:szCs w:val="24"/>
      <w:lang w:eastAsia="ru-RU"/>
    </w:rPr>
  </w:style>
  <w:style w:type="character" w:customStyle="1" w:styleId="31">
    <w:name w:val="Заголовок 3 Знак"/>
    <w:basedOn w:val="a1"/>
    <w:link w:val="30"/>
    <w:rsid w:val="000951BC"/>
    <w:rPr>
      <w:rFonts w:ascii="Arial" w:eastAsia="Times New Roman" w:hAnsi="Arial" w:cs="Times New Roman"/>
      <w:b/>
      <w:sz w:val="24"/>
      <w:lang w:eastAsia="ru-RU"/>
    </w:rPr>
  </w:style>
  <w:style w:type="character" w:customStyle="1" w:styleId="40">
    <w:name w:val="Заголовок 4 Знак"/>
    <w:basedOn w:val="a1"/>
    <w:link w:val="4"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a">
    <w:name w:val="List Paragraph"/>
    <w:basedOn w:val="a0"/>
    <w:uiPriority w:val="34"/>
    <w:qFormat/>
    <w:rsid w:val="000951BC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paragraph" w:styleId="ab">
    <w:name w:val="Balloon Text"/>
    <w:basedOn w:val="a0"/>
    <w:link w:val="ac"/>
    <w:unhideWhenUsed/>
    <w:rsid w:val="000951BC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951BC"/>
    <w:rPr>
      <w:rFonts w:ascii="Tahoma" w:eastAsia="Times New Roman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0951BC"/>
  </w:style>
  <w:style w:type="character" w:customStyle="1" w:styleId="apple-converted-space">
    <w:name w:val="apple-converted-space"/>
    <w:basedOn w:val="a1"/>
    <w:rsid w:val="000951BC"/>
  </w:style>
  <w:style w:type="character" w:styleId="ad">
    <w:name w:val="Emphasis"/>
    <w:qFormat/>
    <w:rsid w:val="000951BC"/>
    <w:rPr>
      <w:i/>
      <w:iCs/>
    </w:rPr>
  </w:style>
  <w:style w:type="paragraph" w:styleId="ae">
    <w:name w:val="table of figures"/>
    <w:basedOn w:val="a0"/>
    <w:next w:val="a0"/>
    <w:semiHidden/>
    <w:rsid w:val="0009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951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f">
    <w:name w:val="Body Text"/>
    <w:basedOn w:val="a0"/>
    <w:link w:val="af0"/>
    <w:semiHidden/>
    <w:rsid w:val="000951BC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1"/>
    <w:link w:val="af"/>
    <w:semiHidden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2">
    <w:name w:val="Body Text 2"/>
    <w:basedOn w:val="a0"/>
    <w:link w:val="23"/>
    <w:rsid w:val="000951BC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1"/>
    <w:link w:val="22"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f1">
    <w:name w:val="page number"/>
    <w:basedOn w:val="a1"/>
    <w:rsid w:val="000951BC"/>
  </w:style>
  <w:style w:type="paragraph" w:customStyle="1" w:styleId="14">
    <w:name w:val="Абзац списка1"/>
    <w:basedOn w:val="a0"/>
    <w:rsid w:val="000951BC"/>
    <w:pPr>
      <w:widowControl w:val="0"/>
      <w:autoSpaceDE w:val="0"/>
      <w:autoSpaceDN w:val="0"/>
      <w:adjustRightInd w:val="0"/>
      <w:spacing w:after="0" w:line="360" w:lineRule="auto"/>
      <w:ind w:left="720" w:firstLine="720"/>
      <w:jc w:val="both"/>
    </w:pPr>
    <w:rPr>
      <w:rFonts w:ascii="Times New Roman" w:eastAsia="Times New Roman" w:hAnsi="Times New Roman" w:cs="Tahoma"/>
      <w:color w:val="323232"/>
      <w:sz w:val="24"/>
      <w:szCs w:val="24"/>
      <w:lang w:eastAsia="ru-RU"/>
    </w:rPr>
  </w:style>
  <w:style w:type="character" w:styleId="af2">
    <w:name w:val="annotation reference"/>
    <w:rsid w:val="000951BC"/>
    <w:rPr>
      <w:sz w:val="16"/>
      <w:szCs w:val="16"/>
    </w:rPr>
  </w:style>
  <w:style w:type="paragraph" w:styleId="af3">
    <w:name w:val="annotation text"/>
    <w:basedOn w:val="a0"/>
    <w:link w:val="af4"/>
    <w:uiPriority w:val="99"/>
    <w:rsid w:val="00095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uiPriority w:val="99"/>
    <w:rsid w:val="00095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0951BC"/>
    <w:rPr>
      <w:b/>
      <w:bCs/>
    </w:rPr>
  </w:style>
  <w:style w:type="character" w:customStyle="1" w:styleId="af6">
    <w:name w:val="Тема примечания Знак"/>
    <w:basedOn w:val="af4"/>
    <w:link w:val="af5"/>
    <w:rsid w:val="000951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09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0"/>
    <w:next w:val="a0"/>
    <w:uiPriority w:val="39"/>
    <w:semiHidden/>
    <w:unhideWhenUsed/>
    <w:qFormat/>
    <w:rsid w:val="000951BC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15">
    <w:name w:val="toc 1"/>
    <w:basedOn w:val="a0"/>
    <w:next w:val="a0"/>
    <w:autoRedefine/>
    <w:uiPriority w:val="39"/>
    <w:rsid w:val="000951BC"/>
    <w:pPr>
      <w:tabs>
        <w:tab w:val="left" w:pos="440"/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1"/>
    <w:uiPriority w:val="99"/>
    <w:unhideWhenUsed/>
    <w:rsid w:val="000951BC"/>
    <w:rPr>
      <w:color w:val="0000FF"/>
      <w:u w:val="single"/>
    </w:rPr>
  </w:style>
  <w:style w:type="table" w:customStyle="1" w:styleId="16">
    <w:name w:val="Сетка таблицы1"/>
    <w:basedOn w:val="a2"/>
    <w:next w:val="a4"/>
    <w:uiPriority w:val="59"/>
    <w:rsid w:val="00095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otnote reference"/>
    <w:basedOn w:val="a1"/>
    <w:rsid w:val="000951BC"/>
    <w:rPr>
      <w:vertAlign w:val="superscript"/>
    </w:rPr>
  </w:style>
  <w:style w:type="paragraph" w:styleId="afb">
    <w:name w:val="caption"/>
    <w:basedOn w:val="a0"/>
    <w:next w:val="a0"/>
    <w:qFormat/>
    <w:rsid w:val="000951BC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Times New Roman" w:hAnsi="Arial Narrow" w:cs="Times New Roman"/>
      <w:sz w:val="28"/>
      <w:szCs w:val="24"/>
      <w:lang w:eastAsia="ru-RU"/>
    </w:rPr>
  </w:style>
  <w:style w:type="paragraph" w:styleId="a">
    <w:name w:val="List"/>
    <w:aliases w:val="Номер,Список - Маркер"/>
    <w:basedOn w:val="a0"/>
    <w:link w:val="afc"/>
    <w:rsid w:val="000951BC"/>
    <w:pPr>
      <w:numPr>
        <w:numId w:val="3"/>
      </w:numPr>
      <w:tabs>
        <w:tab w:val="clear" w:pos="928"/>
        <w:tab w:val="num" w:pos="1080"/>
      </w:tabs>
      <w:spacing w:before="40" w:after="4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footnote text"/>
    <w:basedOn w:val="a0"/>
    <w:link w:val="afe"/>
    <w:rsid w:val="000951BC"/>
    <w:pPr>
      <w:spacing w:before="60" w:after="60" w:line="240" w:lineRule="auto"/>
      <w:ind w:hanging="142"/>
      <w:jc w:val="both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afe">
    <w:name w:val="Текст сноски Знак"/>
    <w:basedOn w:val="a1"/>
    <w:link w:val="afd"/>
    <w:rsid w:val="000951BC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customStyle="1" w:styleId="11">
    <w:name w:val="Номер1"/>
    <w:basedOn w:val="a"/>
    <w:rsid w:val="000951BC"/>
    <w:pPr>
      <w:numPr>
        <w:ilvl w:val="1"/>
        <w:numId w:val="4"/>
      </w:numPr>
      <w:tabs>
        <w:tab w:val="clear" w:pos="720"/>
        <w:tab w:val="num" w:pos="928"/>
      </w:tabs>
      <w:ind w:left="720" w:hanging="720"/>
    </w:pPr>
  </w:style>
  <w:style w:type="paragraph" w:customStyle="1" w:styleId="2">
    <w:name w:val="Номер2"/>
    <w:basedOn w:val="a0"/>
    <w:rsid w:val="000951BC"/>
    <w:pPr>
      <w:numPr>
        <w:ilvl w:val="2"/>
        <w:numId w:val="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c">
    <w:name w:val="Список Знак"/>
    <w:aliases w:val="Номер Знак,Список - Маркер Знак"/>
    <w:link w:val="a"/>
    <w:locked/>
    <w:rsid w:val="000951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центру"/>
    <w:basedOn w:val="10"/>
    <w:rsid w:val="000951BC"/>
    <w:pPr>
      <w:numPr>
        <w:ilvl w:val="0"/>
      </w:numPr>
      <w:suppressAutoHyphens/>
      <w:spacing w:before="120" w:after="240"/>
    </w:pPr>
    <w:rPr>
      <w:b w:val="0"/>
      <w:bCs w:val="0"/>
      <w:kern w:val="28"/>
      <w:szCs w:val="20"/>
    </w:rPr>
  </w:style>
  <w:style w:type="paragraph" w:customStyle="1" w:styleId="3">
    <w:name w:val="Список3"/>
    <w:basedOn w:val="a0"/>
    <w:rsid w:val="000951BC"/>
    <w:pPr>
      <w:numPr>
        <w:numId w:val="5"/>
      </w:numPr>
      <w:tabs>
        <w:tab w:val="left" w:pos="1208"/>
      </w:tabs>
      <w:spacing w:before="20" w:after="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4">
    <w:name w:val="Абзац списка2"/>
    <w:basedOn w:val="a0"/>
    <w:rsid w:val="000951BC"/>
    <w:pPr>
      <w:spacing w:after="200" w:line="276" w:lineRule="auto"/>
      <w:ind w:left="720" w:firstLine="720"/>
      <w:contextualSpacing/>
    </w:pPr>
    <w:rPr>
      <w:rFonts w:ascii="Calibri" w:eastAsia="Times New Roman" w:hAnsi="Calibri" w:cs="Times New Roman"/>
      <w:sz w:val="28"/>
    </w:rPr>
  </w:style>
  <w:style w:type="paragraph" w:customStyle="1" w:styleId="ConsPlusNonformat">
    <w:name w:val="ConsPlusNonformat"/>
    <w:uiPriority w:val="99"/>
    <w:rsid w:val="000951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0">
    <w:name w:val="Сетка таблицы11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42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5">
    <w:name w:val="Заголовок №2_"/>
    <w:basedOn w:val="a1"/>
    <w:link w:val="26"/>
    <w:rsid w:val="00085D5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0"/>
    <w:link w:val="25"/>
    <w:rsid w:val="00085D52"/>
    <w:pPr>
      <w:widowControl w:val="0"/>
      <w:shd w:val="clear" w:color="auto" w:fill="FFFFFF"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f">
    <w:name w:val="Основной текст_"/>
    <w:basedOn w:val="a1"/>
    <w:link w:val="17"/>
    <w:rsid w:val="00B270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0"/>
    <w:link w:val="aff"/>
    <w:rsid w:val="00B2705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2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F2DBCB4FCDCD950D49758F4E45A89E865E86724F01060D12AF91BC916D8A775C8738B2FC49B95EFC654AD83BD28E1FF5F2B014C4FDFGFM9O" TargetMode="External"/><Relationship Id="rId17" Type="http://schemas.openxmlformats.org/officeDocument/2006/relationships/hyperlink" Target="https://login.consultant.ru/link/?req=doc&amp;base=RLAW086&amp;n=148129&amp;dst=1001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86&amp;n=148129&amp;dst=10081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F2DBCB4FCDCD950D49758F4E45A89E865E86724F01060D12AF91BC916D8A775C8738B2DC59291EFC654AD83BD28E1FF5F2B014C4FDFGFM9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consultantplus://offline/ref=BF2DBCB4FCDCD950D49758F4E45A89E865E86724F01060D12AF91BC916D8A775C8738B2FC49B95EFC654AD83BD28E1FF5F2B014C4FDFGFM9O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F2DBCB4FCDCD950D49758F4E45A89E865E86724F01060D12AF91BC916D8A775C8738B2DC59291EFC654AD83BD28E1FF5F2B014C4FDFGFM9O" TargetMode="External"/><Relationship Id="rId14" Type="http://schemas.openxmlformats.org/officeDocument/2006/relationships/hyperlink" Target="https://login.consultant.ru/link/?req=doc&amp;base=RLAW086&amp;n=148129&amp;dst=1008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6A31A-29C9-4FB7-A78E-1E996581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4661</Words>
  <Characters>26574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31173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Горева Оксана Евгеньевна</dc:creator>
  <cp:lastModifiedBy>Медникова Олеся Евгеньевна</cp:lastModifiedBy>
  <cp:revision>5</cp:revision>
  <dcterms:created xsi:type="dcterms:W3CDTF">2024-04-09T12:18:00Z</dcterms:created>
  <dcterms:modified xsi:type="dcterms:W3CDTF">2024-04-09T13:03:00Z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34115</vt:lpwstr>
  </property>
</Properties>
</file>