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A62" w:rsidRPr="00C8317F" w:rsidRDefault="00175A62" w:rsidP="00175A62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</w:t>
      </w:r>
    </w:p>
    <w:p w:rsidR="00175A62" w:rsidRDefault="00175A62" w:rsidP="00175A62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175A62" w:rsidRDefault="00175A62" w:rsidP="00175A62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  <w:t>от ____________ № _______</w:t>
      </w:r>
    </w:p>
    <w:p w:rsidR="00175A62" w:rsidRDefault="00175A62" w:rsidP="00175A62">
      <w:pPr>
        <w:ind w:left="5103"/>
        <w:rPr>
          <w:rFonts w:cs="Times New Roman"/>
          <w:szCs w:val="28"/>
        </w:rPr>
      </w:pPr>
    </w:p>
    <w:p w:rsidR="00175A62" w:rsidRDefault="00175A62" w:rsidP="00175A62">
      <w:pPr>
        <w:ind w:left="5103"/>
        <w:rPr>
          <w:rFonts w:cs="Times New Roman"/>
          <w:szCs w:val="28"/>
        </w:rPr>
      </w:pPr>
    </w:p>
    <w:p w:rsidR="00175A62" w:rsidRPr="00A741FF" w:rsidRDefault="00175A62" w:rsidP="00175A62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ИЗМЕНЕНИЕ</w:t>
      </w:r>
      <w:r w:rsidRPr="00A741FF">
        <w:rPr>
          <w:rFonts w:eastAsia="Calibri" w:cs="Times New Roman"/>
          <w:b/>
          <w:bCs/>
          <w:szCs w:val="28"/>
        </w:rPr>
        <w:t>,</w:t>
      </w:r>
    </w:p>
    <w:p w:rsidR="00175A62" w:rsidRDefault="00175A62" w:rsidP="00175A62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</w:rPr>
      </w:pPr>
      <w:r w:rsidRPr="00007354">
        <w:rPr>
          <w:rFonts w:eastAsia="Calibri" w:cs="Times New Roman"/>
          <w:b/>
          <w:bCs/>
          <w:szCs w:val="28"/>
        </w:rPr>
        <w:t>ВНОСИМ</w:t>
      </w:r>
      <w:r>
        <w:rPr>
          <w:rFonts w:eastAsia="Calibri" w:cs="Times New Roman"/>
          <w:b/>
          <w:bCs/>
          <w:szCs w:val="28"/>
        </w:rPr>
        <w:t>ОЕ</w:t>
      </w:r>
      <w:r w:rsidRPr="00007354">
        <w:rPr>
          <w:rFonts w:eastAsia="Calibri" w:cs="Times New Roman"/>
          <w:b/>
          <w:bCs/>
          <w:szCs w:val="28"/>
        </w:rPr>
        <w:t xml:space="preserve"> В ПЛАН МЕРОПРИЯТИЙ ПО РЕАЛИЗАЦИИ СТРАТЕГИИ СОЦИАЛЬНО-ЭКОНОМИЧЕСКОГО РАЗВИТИЯ ЯРОСЛАВСКОЙ ОБЛАСТИ НА ПЕРИОД ДО 20</w:t>
      </w:r>
      <w:r>
        <w:rPr>
          <w:rFonts w:eastAsia="Calibri" w:cs="Times New Roman"/>
          <w:b/>
          <w:bCs/>
          <w:szCs w:val="28"/>
        </w:rPr>
        <w:t>30</w:t>
      </w:r>
      <w:r w:rsidRPr="00007354">
        <w:rPr>
          <w:rFonts w:eastAsia="Calibri" w:cs="Times New Roman"/>
          <w:b/>
          <w:bCs/>
          <w:szCs w:val="28"/>
        </w:rPr>
        <w:t xml:space="preserve"> ГОДА</w:t>
      </w:r>
    </w:p>
    <w:p w:rsidR="00175A62" w:rsidRPr="00A741FF" w:rsidRDefault="00175A62" w:rsidP="00175A62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</w:rPr>
      </w:pPr>
    </w:p>
    <w:p w:rsidR="00175A62" w:rsidRPr="00A741FF" w:rsidRDefault="00175A62" w:rsidP="00175A62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Таблицу в р</w:t>
      </w:r>
      <w:r w:rsidRPr="00A741FF">
        <w:rPr>
          <w:rFonts w:eastAsia="Calibri" w:cs="Times New Roman"/>
          <w:szCs w:val="28"/>
        </w:rPr>
        <w:t>аздел</w:t>
      </w:r>
      <w:r>
        <w:rPr>
          <w:rFonts w:eastAsia="Calibri" w:cs="Times New Roman"/>
          <w:szCs w:val="28"/>
        </w:rPr>
        <w:t>е</w:t>
      </w:r>
      <w:r w:rsidRPr="00A741FF">
        <w:rPr>
          <w:rFonts w:eastAsia="Calibri" w:cs="Times New Roman"/>
          <w:szCs w:val="28"/>
        </w:rPr>
        <w:t xml:space="preserve"> </w:t>
      </w:r>
      <w:r w:rsidRPr="00A741FF">
        <w:rPr>
          <w:rFonts w:eastAsia="Calibri" w:cs="Times New Roman"/>
          <w:szCs w:val="28"/>
          <w:lang w:val="en-US"/>
        </w:rPr>
        <w:t>V</w:t>
      </w:r>
      <w:r w:rsidRPr="00A741FF">
        <w:rPr>
          <w:rFonts w:eastAsia="Calibri" w:cs="Times New Roman"/>
          <w:szCs w:val="28"/>
        </w:rPr>
        <w:t xml:space="preserve"> «Перечень и состав государственных программ Ярославской области на период 2020 - 2025 годов </w:t>
      </w:r>
      <w:r>
        <w:rPr>
          <w:rFonts w:eastAsia="Calibri" w:cs="Times New Roman"/>
          <w:szCs w:val="28"/>
        </w:rPr>
        <w:t>изложить в следующей редакции</w:t>
      </w:r>
      <w:r w:rsidRPr="00A741FF">
        <w:rPr>
          <w:rFonts w:eastAsia="Calibri" w:cs="Times New Roman"/>
          <w:szCs w:val="28"/>
        </w:rPr>
        <w:t>:</w:t>
      </w:r>
    </w:p>
    <w:p w:rsidR="00175A62" w:rsidRPr="00A741FF" w:rsidRDefault="00175A62" w:rsidP="00175A62">
      <w:pPr>
        <w:autoSpaceDE w:val="0"/>
        <w:autoSpaceDN w:val="0"/>
        <w:adjustRightInd w:val="0"/>
        <w:ind w:firstLine="0"/>
        <w:jc w:val="both"/>
        <w:outlineLvl w:val="0"/>
        <w:rPr>
          <w:rFonts w:eastAsia="Calibri" w:cs="Times New Roman"/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1871"/>
        <w:gridCol w:w="4422"/>
      </w:tblGrid>
      <w:tr w:rsidR="00175A62" w:rsidRPr="00A741FF" w:rsidTr="007B0E7B">
        <w:tc>
          <w:tcPr>
            <w:tcW w:w="567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N</w:t>
            </w:r>
          </w:p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п/п</w:t>
            </w:r>
          </w:p>
        </w:tc>
        <w:tc>
          <w:tcPr>
            <w:tcW w:w="221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Наименование государственной программы Ярославской области</w:t>
            </w:r>
          </w:p>
        </w:tc>
        <w:tc>
          <w:tcPr>
            <w:tcW w:w="187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Ответственный исполнитель государственной программы Ярославской области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Наименования подпрограмм, входящих в состав государственной программы Ярославской области в период 2020 - 2025 годов</w:t>
            </w:r>
          </w:p>
        </w:tc>
      </w:tr>
      <w:tr w:rsidR="00175A62" w:rsidRPr="00A741FF" w:rsidTr="007B0E7B">
        <w:tc>
          <w:tcPr>
            <w:tcW w:w="567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21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187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4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здравоохранения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ДЗФ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материально-технической базы медицинских организаций Ярославской области"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ДЗФ ЯО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«Борьба с сердечно-сосудистыми заболеваниями» на 2019 - 2024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«Борьба с онкологическими заболеваниями» на 2019 - 2024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«Развитие системы оказания первичной медико-санитарной помощи» на 2020 - 2024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РЦП «Улучшение кадрового обеспечения государственных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медицинских организаций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«Развитие детского здравоохранения, включая создание современной инфраструктуры оказания медицинской помощи детям, в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РП «Модернизация первичного звена здравоохранения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«Создание единого цифрового контура в системе здравоохранения Ярославской области на основе единой государственной информационной системы здравоохранения» на 2020 - 2024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«Развитие экспорта медицинских услуг» на 2020 - 2024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«Формирование системы мотивации граждан к здоровому образу жизни, включая здоровое питание и отказ от вредных привычек» на 2020 - 2024 годы</w:t>
            </w:r>
          </w:p>
        </w:tc>
      </w:tr>
      <w:tr w:rsidR="00175A62" w:rsidRPr="00A741FF" w:rsidTr="007B0E7B">
        <w:trPr>
          <w:trHeight w:val="1637"/>
        </w:trPr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РП «Оптимальная для восстановления здоровья медицинская реабилитация» на 2022 - 2024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Развитие образования в Ярославской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ДО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ДО ЯО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«Образование в Ярославской области» на 2020 - 2026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«Содействие занятости - создание условий дошкольного образования для детей в Ярославской области» на 2021 - 2024 годы</w:t>
            </w:r>
          </w:p>
        </w:tc>
      </w:tr>
      <w:tr w:rsidR="00175A62" w:rsidRPr="00A741FF" w:rsidTr="007B0E7B">
        <w:tc>
          <w:tcPr>
            <w:tcW w:w="9071" w:type="dxa"/>
            <w:gridSpan w:val="4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bCs/>
                <w:szCs w:val="28"/>
              </w:rPr>
            </w:pP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3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Социальная поддержка населения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ДТСПН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«Социальная поддержка населения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«Семья и дети Ярославии»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«Государственная поддержка и повышение качества жизни семей с детьми и граждан старшего поколения в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4</w:t>
            </w:r>
          </w:p>
        </w:tc>
        <w:tc>
          <w:tcPr>
            <w:tcW w:w="221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Доступная среда в Ярославской области</w:t>
            </w:r>
          </w:p>
        </w:tc>
        <w:tc>
          <w:tcPr>
            <w:tcW w:w="187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ДТСПН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«Формирование и совершенствование системы комплексной реабилитации и абилитации инвалидов, в том числе детей-инвалидов» на 2020 - 2025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5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Обеспечение доступным и комфортным жильем населения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ДС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«Стимулирование развития жилищного строительства на территории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«Восстановление прав участников строительства проблемных жилых домов Ярославской области" на 2020 - 2023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РАП по переселению граждан из аварийного жилищного фонда Ярославской области на 2019 - 2025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ДС ЯО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«Жилье» на 2020 - 2024 годы</w:t>
            </w:r>
          </w:p>
        </w:tc>
      </w:tr>
      <w:tr w:rsidR="00175A62" w:rsidRPr="00A741FF" w:rsidTr="007B0E7B">
        <w:tc>
          <w:tcPr>
            <w:tcW w:w="567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6</w:t>
            </w:r>
          </w:p>
        </w:tc>
        <w:tc>
          <w:tcPr>
            <w:tcW w:w="221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Формирование современной городской среды муниципальных образований на территории Ярославской области</w:t>
            </w:r>
          </w:p>
        </w:tc>
        <w:tc>
          <w:tcPr>
            <w:tcW w:w="187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ДЖКХ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Создание комфортной городской среды на территории Ярославской области" на 2020 - 2024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7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Содействие занятости населения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ДГСЗН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«Содействие занятости населения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«Оказание содействия добровольному переселению в Ярославскую область соотечественников, проживающих за рубежом" (РП переселения)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8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Обеспечение общественного порядка и противодействие преступности на территории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ДРБ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«Повышение безопасности дорожного движения в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«Комплексные меры противодействия злоупотреблению наркотиками и их незаконному обороту»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«Профилактика правонарушений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9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Защита населения и территории Ярославской области от чрезвычайных ситуаций, обеспечение пожарной безопасности и безопасности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людей на водных объектах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ДРБ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«Повышение безопасности жизнедеятельности населения»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«Обеспечение безопасности граждан на водных объектах»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«Реализация государственной политики в области гражданской защиты и пожарной безопасности»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региональной системы оповещения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10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культуры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ДК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ДК ЯО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«Развитие культуры и искусства в Ярославской области» на 2019 - 2024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ДООКН ЯО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11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Охрана окружающей среды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ДООСП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«Управление охраной окружающей среды и рациональным природопользованием в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водохозяйственного комплекса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«Восстановление водных объектов на территории Ярославской области» на 2022 - 2024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«Развитие системы обращения с отходами, в том числе с твердыми коммунальными отходами, на территории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«Обеспечение безопасности гидротехнических сооружений в Ярославской области» на 2022 - 2024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12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Развитие физической культуры и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спорта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ДФКСиМП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«Физическая культура и спорт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«Создание условий для занятий физической культурой и спортом в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13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Обеспечение качественными коммунальными услугами населения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ДЖКХ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РП «Развитие водоснабжения и водоотведения Ярославской области» на 2018 - 2024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РП капитального ремонта общего имущества в многоквартирных домах Ярославской области на 2014 - 2043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ДЖКХЭиРТ ЯО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175A62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РП «Газификация и модернизация жилищно-коммунального хозяйства, промышленных и иных организаций Ярославской области» на </w:t>
            </w:r>
            <w:r>
              <w:rPr>
                <w:rFonts w:eastAsia="Calibri" w:cs="Times New Roman"/>
                <w:bCs/>
                <w:szCs w:val="28"/>
              </w:rPr>
              <w:t>2017</w:t>
            </w:r>
            <w:r w:rsidRPr="00A741FF">
              <w:rPr>
                <w:rFonts w:eastAsia="Calibri" w:cs="Times New Roman"/>
                <w:bCs/>
                <w:szCs w:val="28"/>
              </w:rPr>
              <w:t xml:space="preserve"> - 20</w:t>
            </w:r>
            <w:r>
              <w:rPr>
                <w:rFonts w:eastAsia="Calibri" w:cs="Times New Roman"/>
                <w:bCs/>
                <w:szCs w:val="28"/>
              </w:rPr>
              <w:t>2</w:t>
            </w:r>
            <w:bookmarkStart w:id="0" w:name="_GoBack"/>
            <w:bookmarkEnd w:id="0"/>
            <w:r w:rsidRPr="00A741FF">
              <w:rPr>
                <w:rFonts w:eastAsia="Calibri" w:cs="Times New Roman"/>
                <w:bCs/>
                <w:szCs w:val="28"/>
              </w:rPr>
              <w:t>1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«Модернизация объектов коммунальной инфраструктуры Ярославской области» на 2022 - 2023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РП «Газификация жилищно-коммунального хозяйства, промышленных и иных организаций Ярославской области» на 2022 - 2031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ДГЖН ЯО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14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Экономическое развитие и инновационная экономика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ДИПиВЭД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«Стимулирование инвестиционной деятельности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«Развитие субъектов малого и среднего предпринимательства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ДИиП ЯО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15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промышленности в Ярославской области и повышение ее конкурентоспособности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ДИПиВЭД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промышленности Ярославской области и повышение ее конкурентоспособности»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«Повышение производительности труда в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16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транспортного комплекса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ДТ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«Транспортное обслуживание населения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транспортной системы Ярославской области"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рынка газомоторного топлива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17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туризма и отдыха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ДТур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«Комплексное развитие туристической отрасли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«Туризм в Ярославской области» на 2021 - 2024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18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молодежной политики и патриотическое воспитание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ДФКСиМП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«Реализация государственной молодежной политики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«Патриотическое воспитание граждан Российской Федерации, проживающих на территории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подпрограмма «Развитие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молодежной политики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19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институтов гражданского общества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ДОС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«Реализация государственной национальной политики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«Государственная поддержка развития российского казачества на территории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«Реализация принципов открытого государственного управления»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«Государственная поддержка гражданских инициатив и социально ориентированных некоммерческих организаций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«Государственная поддержка общественных организаций ветеранов в Ярославской области» на 2022 - 2025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20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Информационное общество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ДИС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ДИС ЯО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информационных технологий в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«Цифровая экономика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21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Развитие дорожного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хозяйства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ДДХ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ВЦП «Сохранность региональных автомобильных дорог Ярославской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сети автомобильных дорог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«Комплексное развитие транспортной инфраструктуры объединенной дорожной сети Ярославской области и городской агломерации «Ярославская» на 2020 - 2024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22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сельского хозяйства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ДАПК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агропромышленного комплекса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ДАПК ЯО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«Обеспечение эпизоотического благополучия территории Ярославской области по африканской чуме свиней, бешенству и другим заразным и особо опасным болезням животных»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ДВ ЯО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«Развитие системы поддержки фермеров, сельской кооперации и экспорта продукции агропромышленного комплекса» на 2020 - 2024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23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лесного хозяйства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ДЛХ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ДЛХ ЯО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РЦП «Сохранение лесов Ярославской области» на 2020 - 2024 годы</w:t>
            </w:r>
          </w:p>
        </w:tc>
      </w:tr>
      <w:tr w:rsidR="00175A62" w:rsidRPr="00A741FF" w:rsidTr="007B0E7B">
        <w:tc>
          <w:tcPr>
            <w:tcW w:w="567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24</w:t>
            </w:r>
          </w:p>
        </w:tc>
        <w:tc>
          <w:tcPr>
            <w:tcW w:w="221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Энергоэффективность и развитие энергетики в Ярославской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области</w:t>
            </w:r>
          </w:p>
        </w:tc>
        <w:tc>
          <w:tcPr>
            <w:tcW w:w="187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ДЖКХ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«Энергосбережение и повышение энергоэффективности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25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Управление земельно-имущественным комплексом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ДИЗО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«Управление и распоряжение имуществом и земельными ресурсами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ДИЗО ЯО на 2020 - 2025 годы</w:t>
            </w:r>
          </w:p>
        </w:tc>
      </w:tr>
      <w:tr w:rsidR="00175A62" w:rsidRPr="00A741FF" w:rsidTr="007B0E7B">
        <w:tc>
          <w:tcPr>
            <w:tcW w:w="567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26</w:t>
            </w:r>
          </w:p>
        </w:tc>
        <w:tc>
          <w:tcPr>
            <w:tcW w:w="221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контрактной системы в сфере закупок Ярославской области</w:t>
            </w:r>
          </w:p>
        </w:tc>
        <w:tc>
          <w:tcPr>
            <w:tcW w:w="187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ДГЗ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«Обеспечение государственных закупок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27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Создание условий для эффективного управления региональными и муниципальными финансами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ДФ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ДФ ЯО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«Выравнивание уровня бюджетной обеспеченности муниципальных образований Ярославской области и обеспечение сбалансированности местных бюджетов»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«Управление государственным долгом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«Повышение финансовой грамотности в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28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системы государственного управления на территории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УГСКП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«Противодействие коррупции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«Организация оказания бесплатной юридической помощи»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 xml:space="preserve">подпрограмма «Развитие государственной гражданской и </w:t>
            </w: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муниципальной службы в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lastRenderedPageBreak/>
              <w:t>29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Местное самоуправление в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ДРПиВОМСУ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«Организация межмуниципального сотрудничества органов местного самоуправления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«Повышение эффективности деятельности органов местного самоуправления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инициативного бюджетирования на территории Ярославской области» на 2021 - 2025 годы</w:t>
            </w:r>
          </w:p>
        </w:tc>
      </w:tr>
      <w:tr w:rsidR="00175A62" w:rsidRPr="00A741FF" w:rsidTr="007B0E7B">
        <w:tc>
          <w:tcPr>
            <w:tcW w:w="567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30</w:t>
            </w:r>
          </w:p>
        </w:tc>
        <w:tc>
          <w:tcPr>
            <w:tcW w:w="221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Комплексное развитие сельских территорий в Ярославской области</w:t>
            </w:r>
          </w:p>
        </w:tc>
        <w:tc>
          <w:tcPr>
            <w:tcW w:w="1871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ДАПК ЯО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«Развитие сельских территорий Ярославской области» на 2020 - 2025 годы</w:t>
            </w:r>
          </w:p>
        </w:tc>
      </w:tr>
      <w:tr w:rsidR="00175A62" w:rsidRPr="00A741FF" w:rsidTr="007B0E7B">
        <w:tc>
          <w:tcPr>
            <w:tcW w:w="567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31</w:t>
            </w:r>
          </w:p>
        </w:tc>
        <w:tc>
          <w:tcPr>
            <w:tcW w:w="221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Развитие государственной ветеринарной службы Ярославской области</w:t>
            </w:r>
          </w:p>
        </w:tc>
        <w:tc>
          <w:tcPr>
            <w:tcW w:w="1871" w:type="dxa"/>
            <w:vMerge w:val="restart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ДВ</w:t>
            </w: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подпрограмма «Обеспечение эпизоотического благополучия территории Ярославской области по африканской чуме свиней, бешенству и другим заразным и особо опасным болезням животных» на 2022 - 2025 годы</w:t>
            </w:r>
          </w:p>
        </w:tc>
      </w:tr>
      <w:tr w:rsidR="00175A62" w:rsidRPr="00A741FF" w:rsidTr="007B0E7B">
        <w:tc>
          <w:tcPr>
            <w:tcW w:w="567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221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1871" w:type="dxa"/>
            <w:vMerge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</w:p>
        </w:tc>
        <w:tc>
          <w:tcPr>
            <w:tcW w:w="4422" w:type="dxa"/>
          </w:tcPr>
          <w:p w:rsidR="00175A62" w:rsidRPr="00A741FF" w:rsidRDefault="00175A62" w:rsidP="007B0E7B">
            <w:pPr>
              <w:autoSpaceDE w:val="0"/>
              <w:autoSpaceDN w:val="0"/>
              <w:adjustRightInd w:val="0"/>
              <w:ind w:firstLine="0"/>
              <w:rPr>
                <w:rFonts w:eastAsia="Calibri" w:cs="Times New Roman"/>
                <w:bCs/>
                <w:szCs w:val="28"/>
              </w:rPr>
            </w:pPr>
            <w:r w:rsidRPr="00A741FF">
              <w:rPr>
                <w:rFonts w:eastAsia="Calibri" w:cs="Times New Roman"/>
                <w:bCs/>
                <w:szCs w:val="28"/>
              </w:rPr>
              <w:t>ВЦП ДВ ЯО на 2022 - 2025 годы</w:t>
            </w:r>
          </w:p>
        </w:tc>
      </w:tr>
    </w:tbl>
    <w:p w:rsidR="00175A62" w:rsidRDefault="00175A62" w:rsidP="00175A62">
      <w:pPr>
        <w:jc w:val="both"/>
        <w:rPr>
          <w:rFonts w:cs="Times New Roman"/>
          <w:b/>
          <w:szCs w:val="28"/>
        </w:rPr>
      </w:pPr>
    </w:p>
    <w:p w:rsidR="00175A62" w:rsidRPr="007207BC" w:rsidRDefault="00175A62" w:rsidP="00175A62">
      <w:pPr>
        <w:jc w:val="both"/>
        <w:rPr>
          <w:rFonts w:cs="Times New Roman"/>
          <w:szCs w:val="28"/>
        </w:rPr>
      </w:pPr>
      <w:r w:rsidRPr="00C436A3">
        <w:rPr>
          <w:rFonts w:cs="Times New Roman"/>
          <w:szCs w:val="28"/>
        </w:rPr>
        <w:t xml:space="preserve">                                                                 </w:t>
      </w:r>
    </w:p>
    <w:p w:rsidR="00175A62" w:rsidRPr="007207BC" w:rsidRDefault="00175A62" w:rsidP="00175A62">
      <w:pPr>
        <w:tabs>
          <w:tab w:val="left" w:pos="5352"/>
        </w:tabs>
        <w:rPr>
          <w:rFonts w:cs="Times New Roman"/>
          <w:szCs w:val="28"/>
        </w:rPr>
      </w:pPr>
    </w:p>
    <w:p w:rsidR="00175A62" w:rsidRDefault="00175A62" w:rsidP="00175A62">
      <w:pPr>
        <w:tabs>
          <w:tab w:val="left" w:pos="5352"/>
        </w:tabs>
        <w:rPr>
          <w:rFonts w:cs="Times New Roman"/>
          <w:szCs w:val="28"/>
        </w:rPr>
      </w:pPr>
    </w:p>
    <w:p w:rsidR="00175A62" w:rsidRDefault="00175A62" w:rsidP="00175A62">
      <w:pPr>
        <w:tabs>
          <w:tab w:val="left" w:pos="535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175A62" w:rsidRPr="00C436A3" w:rsidRDefault="00175A62" w:rsidP="00175A62">
      <w:pPr>
        <w:tabs>
          <w:tab w:val="left" w:pos="535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</w:t>
      </w:r>
    </w:p>
    <w:p w:rsidR="00175A62" w:rsidRPr="003D1E8D" w:rsidRDefault="00175A62" w:rsidP="00175A62"/>
    <w:p w:rsidR="00175A62" w:rsidRPr="00E30EA9" w:rsidRDefault="00175A62" w:rsidP="00175A62"/>
    <w:p w:rsidR="00175A62" w:rsidRDefault="00175A62" w:rsidP="00E30EA9">
      <w:pPr>
        <w:ind w:left="5103"/>
        <w:rPr>
          <w:rFonts w:cs="Times New Roman"/>
          <w:szCs w:val="28"/>
        </w:rPr>
      </w:pPr>
    </w:p>
    <w:p w:rsidR="00175A62" w:rsidRDefault="00175A62" w:rsidP="00E30EA9">
      <w:pPr>
        <w:ind w:left="5103"/>
        <w:rPr>
          <w:rFonts w:cs="Times New Roman"/>
          <w:szCs w:val="28"/>
        </w:rPr>
      </w:pPr>
    </w:p>
    <w:p w:rsidR="00E30EA9" w:rsidRPr="00C8317F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</w:t>
      </w:r>
      <w:r w:rsidRPr="00C8317F">
        <w:rPr>
          <w:rFonts w:cs="Times New Roman"/>
          <w:szCs w:val="28"/>
        </w:rPr>
        <w:t>[</w:t>
      </w:r>
      <w:r>
        <w:rPr>
          <w:rFonts w:cs="Times New Roman"/>
          <w:szCs w:val="28"/>
        </w:rPr>
        <w:t xml:space="preserve"> … </w:t>
      </w:r>
      <w:r w:rsidRPr="00C8317F">
        <w:rPr>
          <w:rFonts w:cs="Times New Roman"/>
          <w:szCs w:val="28"/>
        </w:rPr>
        <w:t>]</w:t>
      </w:r>
    </w:p>
    <w:p w:rsidR="00E30EA9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E30EA9" w:rsidRDefault="00E30EA9" w:rsidP="00AA1FB1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  <w:t>от ____________ № ______</w:t>
      </w:r>
      <w:r w:rsidR="00064332">
        <w:rPr>
          <w:rFonts w:cs="Times New Roman"/>
          <w:szCs w:val="28"/>
        </w:rPr>
        <w:t>_</w:t>
      </w: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E30EA9" w:rsidRPr="00C71535" w:rsidRDefault="00E30EA9" w:rsidP="00E30EA9">
      <w:pPr>
        <w:jc w:val="center"/>
        <w:rPr>
          <w:rFonts w:cs="Times New Roman"/>
          <w:b/>
          <w:szCs w:val="28"/>
        </w:rPr>
      </w:pPr>
      <w:r w:rsidRPr="00C71535">
        <w:rPr>
          <w:rFonts w:cs="Times New Roman"/>
          <w:b/>
          <w:szCs w:val="28"/>
        </w:rPr>
        <w:t>[ЗАГОЛОВОК ПРИЛОЖЕНИЯ</w:t>
      </w:r>
      <w:r>
        <w:rPr>
          <w:rFonts w:cs="Times New Roman"/>
          <w:b/>
          <w:szCs w:val="28"/>
        </w:rPr>
        <w:t>:</w:t>
      </w:r>
    </w:p>
    <w:p w:rsidR="00E30EA9" w:rsidRPr="00C71535" w:rsidRDefault="00E30EA9" w:rsidP="00E30EA9">
      <w:pPr>
        <w:jc w:val="center"/>
        <w:rPr>
          <w:rFonts w:cs="Times New Roman"/>
          <w:b/>
          <w:szCs w:val="28"/>
        </w:rPr>
      </w:pPr>
      <w:r w:rsidRPr="00C71535">
        <w:rPr>
          <w:rFonts w:cs="Times New Roman"/>
          <w:b/>
          <w:szCs w:val="28"/>
        </w:rPr>
        <w:t>наименование вида документа</w:t>
      </w:r>
      <w:r>
        <w:rPr>
          <w:rFonts w:cs="Times New Roman"/>
          <w:b/>
          <w:szCs w:val="28"/>
        </w:rPr>
        <w:t>-приложения</w:t>
      </w:r>
      <w:r w:rsidRPr="00C71535">
        <w:rPr>
          <w:rFonts w:cs="Times New Roman"/>
          <w:b/>
          <w:szCs w:val="28"/>
        </w:rPr>
        <w:t xml:space="preserve"> пишется на первой строке заголовка заглавными буквами, остальная часть заголовка пишется строчными буквами на второй и последующих строках. Весь заголовок выделяется жирным шрифтом, точка в конце заголовка не ставится]</w:t>
      </w:r>
    </w:p>
    <w:p w:rsidR="00E30EA9" w:rsidRPr="00C71535" w:rsidRDefault="00E30EA9" w:rsidP="00E30EA9">
      <w:pPr>
        <w:ind w:left="5103"/>
        <w:rPr>
          <w:rFonts w:cs="Times New Roman"/>
          <w:b/>
          <w:szCs w:val="28"/>
        </w:rPr>
      </w:pPr>
    </w:p>
    <w:p w:rsidR="00064332" w:rsidRDefault="00064332" w:rsidP="00064332">
      <w:pPr>
        <w:jc w:val="both"/>
        <w:rPr>
          <w:rFonts w:cs="Times New Roman"/>
          <w:szCs w:val="28"/>
        </w:rPr>
      </w:pPr>
      <w:r w:rsidRPr="00C8317F">
        <w:rPr>
          <w:rFonts w:cs="Times New Roman"/>
          <w:szCs w:val="28"/>
        </w:rPr>
        <w:t>[</w:t>
      </w:r>
      <w:r>
        <w:rPr>
          <w:rFonts w:cs="Times New Roman"/>
          <w:szCs w:val="28"/>
        </w:rPr>
        <w:t xml:space="preserve">Текст готовится с использованием текстового редактора </w:t>
      </w:r>
      <w:r>
        <w:rPr>
          <w:rFonts w:cs="Times New Roman"/>
          <w:szCs w:val="28"/>
          <w:lang w:val="en-US"/>
        </w:rPr>
        <w:t>Microsoft</w:t>
      </w:r>
      <w:r w:rsidRPr="00324F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Word</w:t>
      </w:r>
      <w:r>
        <w:rPr>
          <w:rFonts w:cs="Times New Roman"/>
          <w:szCs w:val="28"/>
        </w:rPr>
        <w:t xml:space="preserve">, печатается шрифтом </w:t>
      </w:r>
      <w:r>
        <w:rPr>
          <w:rFonts w:cs="Times New Roman"/>
          <w:szCs w:val="28"/>
          <w:lang w:val="en-US"/>
        </w:rPr>
        <w:t>Times</w:t>
      </w:r>
      <w:r w:rsidRPr="00324F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New</w:t>
      </w:r>
      <w:r w:rsidRPr="00324F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Roman</w:t>
      </w:r>
      <w:r w:rsidRPr="00324F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Cyr</w:t>
      </w:r>
      <w:r w:rsidRPr="00324F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14-го размера, через 1 межстрочный интервал, выравнивается по ширине. </w:t>
      </w:r>
    </w:p>
    <w:p w:rsidR="00064332" w:rsidRDefault="00064332" w:rsidP="0006433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Текстовые приложения делятся на разделы (подразделы), которые нумеруются римскими либо арабскими цифрами. Наименования разделов (подразделов) отделяются от заголовка приложения и от текста раздела (подраздела) дополнительным интервалом:</w:t>
      </w:r>
    </w:p>
    <w:p w:rsidR="00064332" w:rsidRDefault="00064332" w:rsidP="00064332">
      <w:pPr>
        <w:jc w:val="both"/>
        <w:rPr>
          <w:rFonts w:cs="Times New Roman"/>
          <w:szCs w:val="28"/>
        </w:rPr>
      </w:pPr>
    </w:p>
    <w:p w:rsidR="00064332" w:rsidRDefault="00064332" w:rsidP="00064332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1. Заголовок раздела (подраздела)</w:t>
      </w:r>
    </w:p>
    <w:p w:rsidR="00064332" w:rsidRDefault="00064332" w:rsidP="00064332">
      <w:pPr>
        <w:jc w:val="center"/>
        <w:rPr>
          <w:rFonts w:cs="Times New Roman"/>
          <w:szCs w:val="28"/>
        </w:rPr>
      </w:pPr>
    </w:p>
    <w:p w:rsidR="00064332" w:rsidRDefault="00064332" w:rsidP="0006433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 нумерации разделов римскими цифрами подразделы, пункты, подпункты приложения  нумеруются арабскими цифрами (при необходимости используется нумерация второго, третьего и т.д. уровней). При нумерации разделов арабскими цифрами подразделы, пункты, подпункты приложения нумеруются также арабскими цифрами с использованием нумерации второго, третьего и т.д. уровней. При этом цифры номера пункта, подпункта разделяются точкой, в конце номера также ставится точка:</w:t>
      </w:r>
    </w:p>
    <w:p w:rsidR="00E30EA9" w:rsidRDefault="00064332" w:rsidP="00064332">
      <w:pPr>
        <w:numPr>
          <w:ilvl w:val="1"/>
          <w:numId w:val="1"/>
        </w:numPr>
        <w:jc w:val="both"/>
        <w:rPr>
          <w:rFonts w:cs="Times New Roman"/>
          <w:szCs w:val="28"/>
        </w:rPr>
      </w:pPr>
      <w:r w:rsidRPr="00064332">
        <w:rPr>
          <w:rFonts w:cs="Times New Roman"/>
          <w:szCs w:val="28"/>
        </w:rPr>
        <w:t xml:space="preserve"> </w:t>
      </w:r>
      <w:r w:rsidR="00E30EA9">
        <w:rPr>
          <w:rFonts w:cs="Times New Roman"/>
          <w:szCs w:val="28"/>
          <w:lang w:val="en-US"/>
        </w:rPr>
        <w:t>[</w:t>
      </w:r>
      <w:r w:rsidR="00E30EA9">
        <w:rPr>
          <w:rFonts w:cs="Times New Roman"/>
          <w:szCs w:val="28"/>
        </w:rPr>
        <w:t>Текст пункта (подпункта).</w:t>
      </w:r>
    </w:p>
    <w:p w:rsidR="00064332" w:rsidRPr="00064332" w:rsidRDefault="00064332" w:rsidP="00064332">
      <w:pPr>
        <w:pStyle w:val="a7"/>
        <w:ind w:left="0"/>
        <w:jc w:val="both"/>
        <w:rPr>
          <w:rFonts w:cs="Times New Roman"/>
          <w:szCs w:val="28"/>
        </w:rPr>
      </w:pPr>
      <w:r w:rsidRPr="00064332">
        <w:rPr>
          <w:rFonts w:cs="Times New Roman"/>
          <w:szCs w:val="28"/>
        </w:rPr>
        <w:t>Каждый пункт (подпункт) располагается с красной строки. Размер красной строки – 12,5 миллиметра, или 5 печатных знаков.</w:t>
      </w:r>
    </w:p>
    <w:p w:rsidR="00E30EA9" w:rsidRDefault="00E30EA9" w:rsidP="00E30EA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Каждый напечатанный лист имеет следующие размеры полей (</w:t>
      </w:r>
      <w:r w:rsidR="00064332">
        <w:rPr>
          <w:rFonts w:cs="Times New Roman"/>
          <w:szCs w:val="28"/>
        </w:rPr>
        <w:t>в миллиметрах</w:t>
      </w:r>
      <w:r>
        <w:rPr>
          <w:rFonts w:cs="Times New Roman"/>
          <w:szCs w:val="28"/>
        </w:rPr>
        <w:t>): левое – 35, правое – не менее 10, верхнее и нижнее – не менее 20.</w:t>
      </w:r>
    </w:p>
    <w:p w:rsidR="00E30EA9" w:rsidRDefault="00E30EA9" w:rsidP="00E30EA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Номера страниц проставляются арабскими цифрами посередине верхнего поля листа.</w:t>
      </w:r>
      <w:r w:rsidRPr="00C8317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Листы приложения нумеруются начиная со второго.</w:t>
      </w:r>
    </w:p>
    <w:p w:rsidR="00E30EA9" w:rsidRDefault="00E30EA9" w:rsidP="00E30EA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Если приложение одно, то оно не нумеруется. Если приложений больше одного, то они нумеруются в соответствии с порядком их </w:t>
      </w:r>
      <w:r>
        <w:rPr>
          <w:rFonts w:cs="Times New Roman"/>
          <w:szCs w:val="28"/>
        </w:rPr>
        <w:lastRenderedPageBreak/>
        <w:t>упоминания в тексте правового акта, при этом знак № не ставится. Каждое приложение начинается на новой странице.</w:t>
      </w:r>
    </w:p>
    <w:p w:rsidR="00E30EA9" w:rsidRDefault="00E30EA9" w:rsidP="00E30EA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Если в тексте правового акта даётся ссылка на приложение «Утвердить прилагаемый (-ую, -ое, -ые)…» либо «Утвердить……… (прилагается)», то приложение оформляется с грифом утверждения, который согласуется с наименованием утверждаемого документа в роде и числе, например: порядок УТВЕРЖДЁН, программа УТВЕРЖДЕНА, положение УТВЕРЖДЕНО, правила УТВЕРЖДЕНЫ. Гриф утверждения пишется заглавными буквами:</w:t>
      </w:r>
    </w:p>
    <w:p w:rsidR="00064332" w:rsidRDefault="00064332" w:rsidP="00E30EA9">
      <w:pPr>
        <w:jc w:val="both"/>
        <w:rPr>
          <w:rFonts w:cs="Times New Roman"/>
          <w:szCs w:val="28"/>
        </w:rPr>
      </w:pPr>
    </w:p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E30EA9" w:rsidTr="00B22BDE">
        <w:trPr>
          <w:trHeight w:val="81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B22BD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УТВЕРЖДЁН</w:t>
            </w:r>
          </w:p>
          <w:p w:rsidR="00E30EA9" w:rsidRDefault="00E30EA9" w:rsidP="00B22BD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B22BD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Pr="007207BC" w:rsidRDefault="00E30EA9" w:rsidP="00B22BD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от_______________№______          </w:t>
            </w:r>
          </w:p>
          <w:p w:rsidR="00E30EA9" w:rsidRPr="007207BC" w:rsidRDefault="00E30EA9" w:rsidP="00B22BDE">
            <w:pPr>
              <w:jc w:val="both"/>
              <w:rPr>
                <w:rFonts w:cs="Times New Roman"/>
                <w:szCs w:val="28"/>
              </w:rPr>
            </w:pPr>
          </w:p>
          <w:p w:rsidR="00E30EA9" w:rsidRDefault="00E30EA9" w:rsidP="00B22BDE">
            <w:pPr>
              <w:jc w:val="both"/>
              <w:rPr>
                <w:rFonts w:cs="Times New Roman"/>
                <w:szCs w:val="28"/>
              </w:rPr>
            </w:pPr>
          </w:p>
        </w:tc>
      </w:tr>
    </w:tbl>
    <w:p w:rsidR="00E30EA9" w:rsidRPr="007207BC" w:rsidRDefault="00E30EA9" w:rsidP="00E30EA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</w:t>
      </w: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  <w:r w:rsidRPr="00C436A3">
        <w:rPr>
          <w:rFonts w:cs="Times New Roman"/>
          <w:szCs w:val="28"/>
        </w:rPr>
        <w:t xml:space="preserve">                                                                 </w:t>
      </w:r>
    </w:p>
    <w:p w:rsidR="00E30EA9" w:rsidRPr="007207BC" w:rsidRDefault="00E30EA9" w:rsidP="00E30EA9">
      <w:pPr>
        <w:tabs>
          <w:tab w:val="left" w:pos="5352"/>
        </w:tabs>
        <w:rPr>
          <w:rFonts w:cs="Times New Roman"/>
          <w:szCs w:val="28"/>
        </w:rPr>
      </w:pPr>
    </w:p>
    <w:p w:rsidR="00E30EA9" w:rsidRDefault="00E30EA9" w:rsidP="00E30EA9">
      <w:pPr>
        <w:tabs>
          <w:tab w:val="left" w:pos="5352"/>
        </w:tabs>
        <w:rPr>
          <w:rFonts w:cs="Times New Roman"/>
          <w:szCs w:val="28"/>
        </w:rPr>
      </w:pPr>
    </w:p>
    <w:p w:rsidR="00E30EA9" w:rsidRDefault="00E30EA9" w:rsidP="00E30EA9">
      <w:pPr>
        <w:tabs>
          <w:tab w:val="left" w:pos="535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E30EA9" w:rsidRPr="00C436A3" w:rsidRDefault="00E30EA9" w:rsidP="00E30EA9">
      <w:pPr>
        <w:tabs>
          <w:tab w:val="left" w:pos="535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</w:t>
      </w:r>
    </w:p>
    <w:p w:rsidR="00E30EA9" w:rsidRPr="003D1E8D" w:rsidRDefault="00E30EA9" w:rsidP="00E30EA9"/>
    <w:p w:rsidR="005E5245" w:rsidRPr="00E30EA9" w:rsidRDefault="005E5245" w:rsidP="00E30EA9"/>
    <w:sectPr w:rsidR="005E5245" w:rsidRPr="00E30EA9" w:rsidSect="005E5245">
      <w:headerReference w:type="default" r:id="rId10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F8C" w:rsidRDefault="00146F8C" w:rsidP="00E30EA9">
      <w:r>
        <w:separator/>
      </w:r>
    </w:p>
  </w:endnote>
  <w:endnote w:type="continuationSeparator" w:id="0">
    <w:p w:rsidR="00146F8C" w:rsidRDefault="00146F8C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F8C" w:rsidRDefault="00146F8C" w:rsidP="00E30EA9">
      <w:r>
        <w:separator/>
      </w:r>
    </w:p>
  </w:footnote>
  <w:footnote w:type="continuationSeparator" w:id="0">
    <w:p w:rsidR="00146F8C" w:rsidRDefault="00146F8C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A62">
          <w:rPr>
            <w:noProof/>
          </w:rPr>
          <w:t>6</w:t>
        </w:r>
        <w:r>
          <w:fldChar w:fldCharType="end"/>
        </w:r>
      </w:p>
    </w:sdtContent>
  </w:sdt>
  <w:p w:rsidR="00C436A3" w:rsidRPr="00532191" w:rsidRDefault="00146F8C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46F8C"/>
    <w:rsid w:val="00175A62"/>
    <w:rsid w:val="001C78DA"/>
    <w:rsid w:val="002306C4"/>
    <w:rsid w:val="00300C01"/>
    <w:rsid w:val="0038047A"/>
    <w:rsid w:val="003A2DCC"/>
    <w:rsid w:val="003A7D0D"/>
    <w:rsid w:val="003D1E8D"/>
    <w:rsid w:val="0040656C"/>
    <w:rsid w:val="004C077F"/>
    <w:rsid w:val="00544401"/>
    <w:rsid w:val="005E5245"/>
    <w:rsid w:val="00A417AD"/>
    <w:rsid w:val="00A64C68"/>
    <w:rsid w:val="00AA1FB1"/>
    <w:rsid w:val="00AE3646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1065F-51FC-4904-96F4-8DC18FD6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5</TotalTime>
  <Pages>13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Кабыш Наталья Фёдоровна</cp:lastModifiedBy>
  <cp:revision>8</cp:revision>
  <dcterms:created xsi:type="dcterms:W3CDTF">2011-07-01T06:21:00Z</dcterms:created>
  <dcterms:modified xsi:type="dcterms:W3CDTF">2022-12-02T10:38:00Z</dcterms:modified>
</cp:coreProperties>
</file>